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3416" w:rsidRDefault="00D73416" w:rsidP="00D73416">
      <w:pPr>
        <w:spacing w:after="0" w:line="240" w:lineRule="auto"/>
        <w:jc w:val="both"/>
      </w:pPr>
    </w:p>
    <w:p w:rsidR="00D73416" w:rsidRDefault="00D73416" w:rsidP="00D73416">
      <w:pPr>
        <w:pStyle w:val="Prrafodelista"/>
        <w:spacing w:after="0" w:line="240" w:lineRule="auto"/>
        <w:jc w:val="center"/>
        <w:rPr>
          <w:rFonts w:ascii="Arial" w:hAnsi="Arial" w:cs="Arial"/>
          <w:b/>
          <w:bCs/>
        </w:rPr>
      </w:pPr>
    </w:p>
    <w:p w:rsidR="00D73416" w:rsidRDefault="00D73416" w:rsidP="00D73416">
      <w:pPr>
        <w:pStyle w:val="Prrafodelista"/>
        <w:spacing w:after="0" w:line="240" w:lineRule="auto"/>
        <w:jc w:val="center"/>
        <w:rPr>
          <w:rFonts w:ascii="Arial" w:hAnsi="Arial" w:cs="Arial"/>
          <w:b/>
          <w:bCs/>
        </w:rPr>
      </w:pPr>
    </w:p>
    <w:p w:rsidR="00D73416" w:rsidRDefault="00D73416" w:rsidP="00D73416">
      <w:pPr>
        <w:pStyle w:val="Prrafodelista"/>
        <w:spacing w:after="0" w:line="240" w:lineRule="auto"/>
        <w:jc w:val="center"/>
        <w:rPr>
          <w:rFonts w:ascii="Arial" w:hAnsi="Arial" w:cs="Arial"/>
          <w:b/>
          <w:bCs/>
        </w:rPr>
      </w:pPr>
    </w:p>
    <w:p w:rsidR="00D73416" w:rsidRDefault="00D73416" w:rsidP="00D73416">
      <w:pPr>
        <w:pStyle w:val="Prrafodelista"/>
        <w:spacing w:after="0" w:line="240" w:lineRule="auto"/>
        <w:jc w:val="center"/>
        <w:rPr>
          <w:rFonts w:ascii="Arial" w:hAnsi="Arial" w:cs="Arial"/>
          <w:b/>
          <w:bCs/>
        </w:rPr>
      </w:pPr>
    </w:p>
    <w:p w:rsidR="00D73416" w:rsidRDefault="00D73416" w:rsidP="00D73416">
      <w:pPr>
        <w:pStyle w:val="Prrafodelista"/>
        <w:spacing w:after="0" w:line="240" w:lineRule="auto"/>
        <w:jc w:val="center"/>
        <w:rPr>
          <w:rFonts w:ascii="Arial" w:hAnsi="Arial" w:cs="Arial"/>
          <w:b/>
          <w:bCs/>
        </w:rPr>
      </w:pPr>
    </w:p>
    <w:p w:rsidR="00FC1474" w:rsidRDefault="00FC1474" w:rsidP="00D73416">
      <w:pPr>
        <w:pStyle w:val="Prrafodelista"/>
        <w:spacing w:after="0" w:line="240" w:lineRule="auto"/>
        <w:jc w:val="center"/>
        <w:rPr>
          <w:rFonts w:ascii="Arial" w:hAnsi="Arial" w:cs="Arial"/>
          <w:b/>
          <w:bCs/>
        </w:rPr>
      </w:pPr>
    </w:p>
    <w:p w:rsidR="00693D8A" w:rsidRDefault="00693D8A" w:rsidP="00317248">
      <w:pPr>
        <w:pStyle w:val="Prrafodelista"/>
        <w:spacing w:after="0" w:line="240" w:lineRule="auto"/>
        <w:jc w:val="center"/>
        <w:rPr>
          <w:rFonts w:ascii="Arial" w:hAnsi="Arial" w:cs="Arial"/>
          <w:b/>
          <w:bCs/>
          <w:sz w:val="24"/>
          <w:szCs w:val="24"/>
        </w:rPr>
      </w:pPr>
    </w:p>
    <w:p w:rsidR="00FC1474" w:rsidRPr="00317248" w:rsidRDefault="00FC1474" w:rsidP="00317248">
      <w:pPr>
        <w:pStyle w:val="Prrafodelista"/>
        <w:spacing w:after="0" w:line="240" w:lineRule="auto"/>
        <w:jc w:val="center"/>
        <w:rPr>
          <w:rFonts w:ascii="Arial" w:hAnsi="Arial" w:cs="Arial"/>
          <w:b/>
          <w:bCs/>
          <w:sz w:val="24"/>
          <w:szCs w:val="24"/>
        </w:rPr>
      </w:pPr>
      <w:r w:rsidRPr="00317248">
        <w:rPr>
          <w:rFonts w:ascii="Arial" w:hAnsi="Arial" w:cs="Arial"/>
          <w:b/>
          <w:bCs/>
          <w:sz w:val="24"/>
          <w:szCs w:val="24"/>
        </w:rPr>
        <w:t>CONSIDERACIONES DEL COLEGIO</w:t>
      </w:r>
      <w:r w:rsidR="0038388A">
        <w:rPr>
          <w:rFonts w:ascii="Arial" w:hAnsi="Arial" w:cs="Arial"/>
          <w:b/>
          <w:bCs/>
          <w:sz w:val="24"/>
          <w:szCs w:val="24"/>
        </w:rPr>
        <w:t xml:space="preserve"> </w:t>
      </w:r>
      <w:r w:rsidRPr="00317248">
        <w:rPr>
          <w:rFonts w:ascii="Arial" w:hAnsi="Arial" w:cs="Arial"/>
          <w:b/>
          <w:bCs/>
          <w:sz w:val="24"/>
          <w:szCs w:val="24"/>
        </w:rPr>
        <w:t>COLOMBIANO DE ABOGADOS DISCIPLINARIAS</w:t>
      </w:r>
      <w:r w:rsidR="0038388A">
        <w:rPr>
          <w:rFonts w:ascii="Arial" w:hAnsi="Arial" w:cs="Arial"/>
          <w:b/>
          <w:bCs/>
          <w:sz w:val="24"/>
          <w:szCs w:val="24"/>
        </w:rPr>
        <w:t xml:space="preserve"> - CCAD</w:t>
      </w:r>
      <w:r w:rsidRPr="00317248">
        <w:rPr>
          <w:rFonts w:ascii="Arial" w:hAnsi="Arial" w:cs="Arial"/>
          <w:b/>
          <w:bCs/>
          <w:sz w:val="24"/>
          <w:szCs w:val="24"/>
        </w:rPr>
        <w:t xml:space="preserve"> AL PROYECTO DE LEY No. </w:t>
      </w:r>
      <w:r w:rsidR="0038388A">
        <w:rPr>
          <w:rFonts w:ascii="Arial" w:hAnsi="Arial" w:cs="Arial"/>
          <w:b/>
          <w:bCs/>
          <w:sz w:val="24"/>
          <w:szCs w:val="24"/>
        </w:rPr>
        <w:t>423</w:t>
      </w:r>
      <w:r w:rsidR="00330F9E">
        <w:rPr>
          <w:rFonts w:ascii="Arial" w:hAnsi="Arial" w:cs="Arial"/>
          <w:b/>
          <w:bCs/>
          <w:sz w:val="24"/>
          <w:szCs w:val="24"/>
        </w:rPr>
        <w:t xml:space="preserve"> DE 2021</w:t>
      </w:r>
    </w:p>
    <w:p w:rsidR="00D73416" w:rsidRPr="00317248" w:rsidRDefault="00D73416" w:rsidP="00317248">
      <w:pPr>
        <w:spacing w:after="0" w:line="240" w:lineRule="auto"/>
        <w:jc w:val="both"/>
        <w:rPr>
          <w:rFonts w:ascii="Arial" w:hAnsi="Arial" w:cs="Arial"/>
          <w:b/>
          <w:bCs/>
          <w:sz w:val="24"/>
          <w:szCs w:val="24"/>
        </w:rPr>
      </w:pPr>
    </w:p>
    <w:p w:rsidR="00D73416" w:rsidRPr="00317248" w:rsidRDefault="00D73416" w:rsidP="00317248">
      <w:pPr>
        <w:pStyle w:val="Prrafodelista"/>
        <w:spacing w:after="0" w:line="240" w:lineRule="auto"/>
        <w:jc w:val="both"/>
        <w:rPr>
          <w:rFonts w:ascii="Arial" w:hAnsi="Arial" w:cs="Arial"/>
          <w:b/>
          <w:bCs/>
          <w:sz w:val="24"/>
          <w:szCs w:val="24"/>
        </w:rPr>
      </w:pPr>
    </w:p>
    <w:p w:rsidR="00D73416" w:rsidRPr="00317248" w:rsidRDefault="00FC1474" w:rsidP="00317248">
      <w:pPr>
        <w:pStyle w:val="Prrafodelista"/>
        <w:numPr>
          <w:ilvl w:val="0"/>
          <w:numId w:val="8"/>
        </w:numPr>
        <w:spacing w:after="0" w:line="240" w:lineRule="auto"/>
        <w:jc w:val="both"/>
        <w:rPr>
          <w:rFonts w:ascii="Arial" w:hAnsi="Arial" w:cs="Arial"/>
          <w:b/>
          <w:bCs/>
          <w:sz w:val="24"/>
          <w:szCs w:val="24"/>
        </w:rPr>
      </w:pPr>
      <w:r w:rsidRPr="00317248">
        <w:rPr>
          <w:rFonts w:ascii="Arial" w:hAnsi="Arial" w:cs="Arial"/>
          <w:b/>
          <w:bCs/>
          <w:sz w:val="24"/>
          <w:szCs w:val="24"/>
        </w:rPr>
        <w:t>FUNCIONES JURISDICCIONALES A LA PROCURADURÍA GENERAL DE LA NACIÓN</w:t>
      </w:r>
      <w:r w:rsidR="00D73416" w:rsidRPr="00317248">
        <w:rPr>
          <w:rFonts w:ascii="Arial" w:hAnsi="Arial" w:cs="Arial"/>
          <w:b/>
          <w:bCs/>
          <w:sz w:val="24"/>
          <w:szCs w:val="24"/>
        </w:rPr>
        <w:t>.</w:t>
      </w:r>
    </w:p>
    <w:p w:rsidR="00D73416" w:rsidRPr="00317248" w:rsidRDefault="00D73416" w:rsidP="00317248">
      <w:pPr>
        <w:pStyle w:val="Prrafodelista"/>
        <w:spacing w:after="0" w:line="240" w:lineRule="auto"/>
        <w:jc w:val="both"/>
        <w:rPr>
          <w:rFonts w:ascii="Arial" w:hAnsi="Arial" w:cs="Arial"/>
          <w:sz w:val="24"/>
          <w:szCs w:val="24"/>
        </w:rPr>
      </w:pPr>
    </w:p>
    <w:p w:rsidR="00FC1474" w:rsidRPr="00317248" w:rsidRDefault="00FC1474" w:rsidP="00317248">
      <w:pPr>
        <w:pStyle w:val="Prrafodelista"/>
        <w:spacing w:after="0" w:line="240" w:lineRule="auto"/>
        <w:jc w:val="both"/>
        <w:rPr>
          <w:rFonts w:ascii="Arial" w:hAnsi="Arial" w:cs="Arial"/>
          <w:sz w:val="24"/>
          <w:szCs w:val="24"/>
        </w:rPr>
      </w:pPr>
      <w:r w:rsidRPr="00317248">
        <w:rPr>
          <w:rFonts w:ascii="Arial" w:hAnsi="Arial" w:cs="Arial"/>
          <w:sz w:val="24"/>
          <w:szCs w:val="24"/>
        </w:rPr>
        <w:t>En atención al principio de jurisdiccionalidad reclamado por la Corte IDH en su fallo del 8 de julio de 2020</w:t>
      </w:r>
      <w:r w:rsidR="00A92D49" w:rsidRPr="00317248">
        <w:rPr>
          <w:rFonts w:ascii="Arial" w:hAnsi="Arial" w:cs="Arial"/>
          <w:sz w:val="24"/>
          <w:szCs w:val="24"/>
        </w:rPr>
        <w:t xml:space="preserve"> caso </w:t>
      </w:r>
      <w:r w:rsidR="00A92D49" w:rsidRPr="00317248">
        <w:rPr>
          <w:rFonts w:ascii="Arial" w:hAnsi="Arial" w:cs="Arial"/>
          <w:i/>
          <w:iCs/>
          <w:sz w:val="24"/>
          <w:szCs w:val="24"/>
        </w:rPr>
        <w:t>Gustavo Petro Vs Colombia</w:t>
      </w:r>
      <w:r w:rsidRPr="00317248">
        <w:rPr>
          <w:rFonts w:ascii="Arial" w:hAnsi="Arial" w:cs="Arial"/>
          <w:sz w:val="24"/>
          <w:szCs w:val="24"/>
        </w:rPr>
        <w:t xml:space="preserve">, se ha propuesto en el proyecto de reforma a la Ley 1952 de 2019 otorgarle funciones jurisdiccionales </w:t>
      </w:r>
      <w:r w:rsidR="00BE4B34" w:rsidRPr="00317248">
        <w:rPr>
          <w:rFonts w:ascii="Arial" w:hAnsi="Arial" w:cs="Arial"/>
          <w:sz w:val="24"/>
          <w:szCs w:val="24"/>
        </w:rPr>
        <w:t>a la Procuraduría General de la Nación, pero manteniéndose un control judicial a las decisiones sancionatorias que esta profiera.</w:t>
      </w:r>
    </w:p>
    <w:p w:rsidR="00BE4B34" w:rsidRPr="00317248" w:rsidRDefault="00BE4B34" w:rsidP="00317248">
      <w:pPr>
        <w:pStyle w:val="Prrafodelista"/>
        <w:spacing w:after="0" w:line="240" w:lineRule="auto"/>
        <w:jc w:val="both"/>
        <w:rPr>
          <w:rFonts w:ascii="Arial" w:hAnsi="Arial" w:cs="Arial"/>
          <w:sz w:val="24"/>
          <w:szCs w:val="24"/>
        </w:rPr>
      </w:pPr>
    </w:p>
    <w:p w:rsidR="00A92D49" w:rsidRPr="00317248" w:rsidRDefault="00A92D49" w:rsidP="00317248">
      <w:pPr>
        <w:pStyle w:val="Prrafodelista"/>
        <w:spacing w:after="0" w:line="240" w:lineRule="auto"/>
        <w:jc w:val="both"/>
        <w:rPr>
          <w:rFonts w:ascii="Arial" w:hAnsi="Arial" w:cs="Arial"/>
          <w:sz w:val="24"/>
          <w:szCs w:val="24"/>
        </w:rPr>
      </w:pPr>
      <w:r w:rsidRPr="00317248">
        <w:rPr>
          <w:rFonts w:ascii="Arial" w:hAnsi="Arial" w:cs="Arial"/>
          <w:sz w:val="24"/>
          <w:szCs w:val="24"/>
        </w:rPr>
        <w:t xml:space="preserve">Dicha propuesta </w:t>
      </w:r>
      <w:r w:rsidR="003C3884" w:rsidRPr="00317248">
        <w:rPr>
          <w:rFonts w:ascii="Arial" w:hAnsi="Arial" w:cs="Arial"/>
          <w:sz w:val="24"/>
          <w:szCs w:val="24"/>
        </w:rPr>
        <w:t>posee</w:t>
      </w:r>
      <w:r w:rsidRPr="00317248">
        <w:rPr>
          <w:rFonts w:ascii="Arial" w:hAnsi="Arial" w:cs="Arial"/>
          <w:sz w:val="24"/>
          <w:szCs w:val="24"/>
        </w:rPr>
        <w:t xml:space="preserve"> </w:t>
      </w:r>
      <w:r w:rsidR="003C3884" w:rsidRPr="00317248">
        <w:rPr>
          <w:rFonts w:ascii="Arial" w:hAnsi="Arial" w:cs="Arial"/>
          <w:sz w:val="24"/>
          <w:szCs w:val="24"/>
        </w:rPr>
        <w:t>tres</w:t>
      </w:r>
      <w:r w:rsidRPr="00317248">
        <w:rPr>
          <w:rFonts w:ascii="Arial" w:hAnsi="Arial" w:cs="Arial"/>
          <w:sz w:val="24"/>
          <w:szCs w:val="24"/>
        </w:rPr>
        <w:t xml:space="preserve"> </w:t>
      </w:r>
      <w:r w:rsidR="003C3884" w:rsidRPr="00317248">
        <w:rPr>
          <w:rFonts w:ascii="Arial" w:hAnsi="Arial" w:cs="Arial"/>
          <w:sz w:val="24"/>
          <w:szCs w:val="24"/>
        </w:rPr>
        <w:t xml:space="preserve">(3) </w:t>
      </w:r>
      <w:r w:rsidRPr="00317248">
        <w:rPr>
          <w:rFonts w:ascii="Arial" w:hAnsi="Arial" w:cs="Arial"/>
          <w:sz w:val="24"/>
          <w:szCs w:val="24"/>
        </w:rPr>
        <w:t>inconvenientes</w:t>
      </w:r>
      <w:r w:rsidR="003C3884" w:rsidRPr="00317248">
        <w:rPr>
          <w:rFonts w:ascii="Arial" w:hAnsi="Arial" w:cs="Arial"/>
          <w:sz w:val="24"/>
          <w:szCs w:val="24"/>
        </w:rPr>
        <w:t>, los cuales resumimos así</w:t>
      </w:r>
      <w:r w:rsidRPr="00317248">
        <w:rPr>
          <w:rFonts w:ascii="Arial" w:hAnsi="Arial" w:cs="Arial"/>
          <w:sz w:val="24"/>
          <w:szCs w:val="24"/>
        </w:rPr>
        <w:t xml:space="preserve">: </w:t>
      </w:r>
      <w:r w:rsidRPr="00317248">
        <w:rPr>
          <w:rFonts w:ascii="Arial" w:hAnsi="Arial" w:cs="Arial"/>
          <w:b/>
          <w:bCs/>
          <w:sz w:val="24"/>
          <w:szCs w:val="24"/>
        </w:rPr>
        <w:t>i)</w:t>
      </w:r>
      <w:r w:rsidRPr="00317248">
        <w:rPr>
          <w:rFonts w:ascii="Arial" w:hAnsi="Arial" w:cs="Arial"/>
          <w:sz w:val="24"/>
          <w:szCs w:val="24"/>
        </w:rPr>
        <w:t xml:space="preserve"> no atiende lo dispuesto en el artículo 23.2 de la CADH y el alcance señalado por la Corte IDH en su fallo condenatorio</w:t>
      </w:r>
      <w:r w:rsidR="003C3884" w:rsidRPr="00317248">
        <w:rPr>
          <w:rFonts w:ascii="Arial" w:hAnsi="Arial" w:cs="Arial"/>
          <w:sz w:val="24"/>
          <w:szCs w:val="24"/>
        </w:rPr>
        <w:t xml:space="preserve">, en el sentido que debe ser exclusivamente mediante condena, por juez competente, en proceso penal; </w:t>
      </w:r>
      <w:r w:rsidR="003C3884" w:rsidRPr="00317248">
        <w:rPr>
          <w:rFonts w:ascii="Arial" w:hAnsi="Arial" w:cs="Arial"/>
          <w:b/>
          <w:bCs/>
          <w:sz w:val="24"/>
          <w:szCs w:val="24"/>
        </w:rPr>
        <w:t>ii)</w:t>
      </w:r>
      <w:r w:rsidR="003C3884" w:rsidRPr="00317248">
        <w:rPr>
          <w:rFonts w:ascii="Arial" w:hAnsi="Arial" w:cs="Arial"/>
          <w:sz w:val="24"/>
          <w:szCs w:val="24"/>
        </w:rPr>
        <w:t xml:space="preserve"> no tendría sentido </w:t>
      </w:r>
      <w:r w:rsidR="0000745E" w:rsidRPr="00317248">
        <w:rPr>
          <w:rFonts w:ascii="Arial" w:hAnsi="Arial" w:cs="Arial"/>
          <w:sz w:val="24"/>
          <w:szCs w:val="24"/>
        </w:rPr>
        <w:t>una</w:t>
      </w:r>
      <w:r w:rsidR="003C3884" w:rsidRPr="00317248">
        <w:rPr>
          <w:rFonts w:ascii="Arial" w:hAnsi="Arial" w:cs="Arial"/>
          <w:sz w:val="24"/>
          <w:szCs w:val="24"/>
        </w:rPr>
        <w:t xml:space="preserve"> jurisdiccionaliza</w:t>
      </w:r>
      <w:r w:rsidR="0000745E" w:rsidRPr="00317248">
        <w:rPr>
          <w:rFonts w:ascii="Arial" w:hAnsi="Arial" w:cs="Arial"/>
          <w:sz w:val="24"/>
          <w:szCs w:val="24"/>
        </w:rPr>
        <w:t>ción</w:t>
      </w:r>
      <w:r w:rsidR="003C3884" w:rsidRPr="00317248">
        <w:rPr>
          <w:rFonts w:ascii="Arial" w:hAnsi="Arial" w:cs="Arial"/>
          <w:sz w:val="24"/>
          <w:szCs w:val="24"/>
        </w:rPr>
        <w:t xml:space="preserve"> </w:t>
      </w:r>
      <w:r w:rsidR="0000745E" w:rsidRPr="00317248">
        <w:rPr>
          <w:rFonts w:ascii="Arial" w:hAnsi="Arial" w:cs="Arial"/>
          <w:sz w:val="24"/>
          <w:szCs w:val="24"/>
        </w:rPr>
        <w:t xml:space="preserve">de la función disciplinaria de la Procuraduría si sus decisiones sancionatorias conservan un control judicial, cuando se trata de verdaderas sentencias; y, </w:t>
      </w:r>
      <w:r w:rsidR="0000745E" w:rsidRPr="00317248">
        <w:rPr>
          <w:rFonts w:ascii="Arial" w:hAnsi="Arial" w:cs="Arial"/>
          <w:b/>
          <w:bCs/>
          <w:sz w:val="24"/>
          <w:szCs w:val="24"/>
        </w:rPr>
        <w:t>iii)</w:t>
      </w:r>
      <w:r w:rsidR="003C3884" w:rsidRPr="00317248">
        <w:rPr>
          <w:rFonts w:ascii="Arial" w:hAnsi="Arial" w:cs="Arial"/>
          <w:b/>
          <w:bCs/>
          <w:sz w:val="24"/>
          <w:szCs w:val="24"/>
        </w:rPr>
        <w:t xml:space="preserve"> </w:t>
      </w:r>
      <w:r w:rsidR="0000745E" w:rsidRPr="00317248">
        <w:rPr>
          <w:rFonts w:ascii="Arial" w:hAnsi="Arial" w:cs="Arial"/>
          <w:sz w:val="24"/>
          <w:szCs w:val="24"/>
        </w:rPr>
        <w:t>otorgarle funciones jurisdiccionales únicamente a la función disciplinaria de la Procuraduría, desconoce la función consitucional y legal que en esta misma materia le ha sido asignada a las Personerías y Oficinas de Control Disciplinario de las entidades públicas</w:t>
      </w:r>
      <w:r w:rsidR="0000745E" w:rsidRPr="00317248">
        <w:rPr>
          <w:rStyle w:val="Refdenotaalpie"/>
          <w:rFonts w:ascii="Arial" w:hAnsi="Arial" w:cs="Arial"/>
          <w:sz w:val="24"/>
          <w:szCs w:val="24"/>
        </w:rPr>
        <w:footnoteReference w:id="1"/>
      </w:r>
      <w:r w:rsidR="0000745E" w:rsidRPr="00317248">
        <w:rPr>
          <w:rFonts w:ascii="Arial" w:hAnsi="Arial" w:cs="Arial"/>
          <w:sz w:val="24"/>
          <w:szCs w:val="24"/>
        </w:rPr>
        <w:t>.</w:t>
      </w:r>
    </w:p>
    <w:p w:rsidR="00923547" w:rsidRPr="003419E6" w:rsidRDefault="00923547" w:rsidP="003419E6">
      <w:pPr>
        <w:spacing w:after="0" w:line="240" w:lineRule="auto"/>
        <w:jc w:val="both"/>
        <w:rPr>
          <w:rFonts w:ascii="Arial" w:hAnsi="Arial" w:cs="Arial"/>
          <w:sz w:val="24"/>
          <w:szCs w:val="24"/>
        </w:rPr>
      </w:pPr>
    </w:p>
    <w:p w:rsidR="00232E0D" w:rsidRPr="003419E6" w:rsidRDefault="00923547" w:rsidP="003419E6">
      <w:pPr>
        <w:pStyle w:val="Prrafodelista"/>
        <w:spacing w:after="0" w:line="240" w:lineRule="auto"/>
        <w:jc w:val="both"/>
        <w:rPr>
          <w:rFonts w:ascii="Arial" w:eastAsia="Times New Roman" w:hAnsi="Arial" w:cs="Arial"/>
          <w:color w:val="000000"/>
          <w:sz w:val="24"/>
          <w:szCs w:val="24"/>
          <w:lang w:eastAsia="es-ES_tradnl"/>
        </w:rPr>
      </w:pPr>
      <w:r w:rsidRPr="00317248">
        <w:rPr>
          <w:rFonts w:ascii="Arial" w:hAnsi="Arial" w:cs="Arial"/>
          <w:sz w:val="24"/>
          <w:szCs w:val="24"/>
        </w:rPr>
        <w:t xml:space="preserve">Conforme con lo anterior, se puede afirmar que </w:t>
      </w:r>
      <w:r w:rsidRPr="00317248">
        <w:rPr>
          <w:rFonts w:ascii="Arial" w:eastAsia="Times New Roman" w:hAnsi="Arial" w:cs="Arial"/>
          <w:color w:val="000000"/>
          <w:sz w:val="24"/>
          <w:szCs w:val="24"/>
          <w:lang w:eastAsia="es-ES_tradnl"/>
        </w:rPr>
        <w:t>c</w:t>
      </w:r>
      <w:r w:rsidRPr="00923547">
        <w:rPr>
          <w:rFonts w:ascii="Arial" w:eastAsia="Times New Roman" w:hAnsi="Arial" w:cs="Arial"/>
          <w:color w:val="000000"/>
          <w:sz w:val="24"/>
          <w:szCs w:val="24"/>
          <w:lang w:eastAsia="es-ES_tradnl"/>
        </w:rPr>
        <w:t xml:space="preserve">on el proyecto no se satisface el principio de jurisdiccionalidad, </w:t>
      </w:r>
      <w:r w:rsidRPr="00317248">
        <w:rPr>
          <w:rFonts w:ascii="Arial" w:eastAsia="Times New Roman" w:hAnsi="Arial" w:cs="Arial"/>
          <w:color w:val="000000"/>
          <w:sz w:val="24"/>
          <w:szCs w:val="24"/>
          <w:lang w:eastAsia="es-ES_tradnl"/>
        </w:rPr>
        <w:t xml:space="preserve">pues </w:t>
      </w:r>
      <w:r w:rsidRPr="00923547">
        <w:rPr>
          <w:rFonts w:ascii="Arial" w:eastAsia="Times New Roman" w:hAnsi="Arial" w:cs="Arial"/>
          <w:color w:val="000000"/>
          <w:sz w:val="24"/>
          <w:szCs w:val="24"/>
          <w:lang w:eastAsia="es-ES_tradnl"/>
        </w:rPr>
        <w:t>la C</w:t>
      </w:r>
      <w:r w:rsidRPr="00317248">
        <w:rPr>
          <w:rFonts w:ascii="Arial" w:eastAsia="Times New Roman" w:hAnsi="Arial" w:cs="Arial"/>
          <w:color w:val="000000"/>
          <w:sz w:val="24"/>
          <w:szCs w:val="24"/>
          <w:lang w:eastAsia="es-ES_tradnl"/>
        </w:rPr>
        <w:t>ADH</w:t>
      </w:r>
      <w:r w:rsidRPr="00923547">
        <w:rPr>
          <w:rFonts w:ascii="Arial" w:eastAsia="Times New Roman" w:hAnsi="Arial" w:cs="Arial"/>
          <w:color w:val="000000"/>
          <w:sz w:val="24"/>
          <w:szCs w:val="24"/>
          <w:lang w:eastAsia="es-ES_tradnl"/>
        </w:rPr>
        <w:t xml:space="preserve"> se refiere a juez como un funcionario que posee características de predeterminación, autonomía, independencia e inamovilidad</w:t>
      </w:r>
      <w:r w:rsidRPr="00317248">
        <w:rPr>
          <w:rFonts w:ascii="Arial" w:eastAsia="Times New Roman" w:hAnsi="Arial" w:cs="Arial"/>
          <w:color w:val="000000"/>
          <w:sz w:val="24"/>
          <w:szCs w:val="24"/>
          <w:lang w:eastAsia="es-ES_tradnl"/>
        </w:rPr>
        <w:t>. El instrumento internacional</w:t>
      </w:r>
      <w:r w:rsidRPr="00923547">
        <w:rPr>
          <w:rFonts w:ascii="Arial" w:eastAsia="Times New Roman" w:hAnsi="Arial" w:cs="Arial"/>
          <w:color w:val="000000"/>
          <w:sz w:val="24"/>
          <w:szCs w:val="24"/>
          <w:lang w:eastAsia="es-ES_tradnl"/>
        </w:rPr>
        <w:t xml:space="preserve"> </w:t>
      </w:r>
      <w:r w:rsidRPr="00317248">
        <w:rPr>
          <w:rFonts w:ascii="Arial" w:eastAsia="Times New Roman" w:hAnsi="Arial" w:cs="Arial"/>
          <w:color w:val="000000"/>
          <w:sz w:val="24"/>
          <w:szCs w:val="24"/>
          <w:lang w:eastAsia="es-ES_tradnl"/>
        </w:rPr>
        <w:t xml:space="preserve">y la sentencia de la Corte IDH </w:t>
      </w:r>
      <w:r w:rsidRPr="00923547">
        <w:rPr>
          <w:rFonts w:ascii="Arial" w:eastAsia="Times New Roman" w:hAnsi="Arial" w:cs="Arial"/>
          <w:color w:val="000000"/>
          <w:sz w:val="24"/>
          <w:szCs w:val="24"/>
          <w:lang w:eastAsia="es-ES_tradnl"/>
        </w:rPr>
        <w:t>exige</w:t>
      </w:r>
      <w:r w:rsidRPr="00317248">
        <w:rPr>
          <w:rFonts w:ascii="Arial" w:eastAsia="Times New Roman" w:hAnsi="Arial" w:cs="Arial"/>
          <w:color w:val="000000"/>
          <w:sz w:val="24"/>
          <w:szCs w:val="24"/>
          <w:lang w:eastAsia="es-ES_tradnl"/>
        </w:rPr>
        <w:t>n</w:t>
      </w:r>
      <w:r w:rsidRPr="00923547">
        <w:rPr>
          <w:rFonts w:ascii="Arial" w:eastAsia="Times New Roman" w:hAnsi="Arial" w:cs="Arial"/>
          <w:color w:val="000000"/>
          <w:sz w:val="24"/>
          <w:szCs w:val="24"/>
          <w:lang w:eastAsia="es-ES_tradnl"/>
        </w:rPr>
        <w:t xml:space="preserve"> la presencia de un juez no simplemente por el carácter jurisdiccional de sus actos, sino por satisfacer las garantías de independencia, imparcialidad y autonomía</w:t>
      </w:r>
      <w:r w:rsidRPr="00317248">
        <w:rPr>
          <w:rFonts w:ascii="Arial" w:eastAsia="Times New Roman" w:hAnsi="Arial" w:cs="Arial"/>
          <w:color w:val="000000"/>
          <w:sz w:val="24"/>
          <w:szCs w:val="24"/>
          <w:lang w:eastAsia="es-ES_tradnl"/>
        </w:rPr>
        <w:t>, toda vez que quien</w:t>
      </w:r>
      <w:r w:rsidRPr="00923547">
        <w:rPr>
          <w:rFonts w:ascii="Arial" w:eastAsia="Times New Roman" w:hAnsi="Arial" w:cs="Arial"/>
          <w:color w:val="000000"/>
          <w:sz w:val="24"/>
          <w:szCs w:val="24"/>
          <w:lang w:eastAsia="es-ES_tradnl"/>
        </w:rPr>
        <w:t xml:space="preserve"> ejerza la función judicial debe ser ajeno a las partes en controversia (imparcial), estar exclusivamente sujeto al derecho y no a instrucciones de </w:t>
      </w:r>
      <w:r w:rsidRPr="003419E6">
        <w:rPr>
          <w:rFonts w:ascii="Arial" w:eastAsia="Times New Roman" w:hAnsi="Arial" w:cs="Arial"/>
          <w:color w:val="000000"/>
          <w:sz w:val="24"/>
          <w:szCs w:val="24"/>
          <w:lang w:eastAsia="es-ES_tradnl"/>
        </w:rPr>
        <w:t>superiores (independiente), así como gozar de una estabilidad suficiente para poder ejercer su independencia y autonomía (inamovilidad)</w:t>
      </w:r>
      <w:r w:rsidRPr="00317248">
        <w:rPr>
          <w:rStyle w:val="Refdenotaalpie"/>
          <w:rFonts w:ascii="Arial" w:eastAsia="Times New Roman" w:hAnsi="Arial" w:cs="Arial"/>
          <w:color w:val="000000"/>
          <w:sz w:val="24"/>
          <w:szCs w:val="24"/>
          <w:lang w:eastAsia="es-ES_tradnl"/>
        </w:rPr>
        <w:footnoteReference w:id="2"/>
      </w:r>
      <w:r w:rsidRPr="003419E6">
        <w:rPr>
          <w:rFonts w:ascii="Arial" w:eastAsia="Times New Roman" w:hAnsi="Arial" w:cs="Arial"/>
          <w:color w:val="000000"/>
          <w:sz w:val="24"/>
          <w:szCs w:val="24"/>
          <w:lang w:eastAsia="es-ES_tradnl"/>
        </w:rPr>
        <w:t>.</w:t>
      </w:r>
    </w:p>
    <w:p w:rsidR="00232E0D" w:rsidRPr="00317248" w:rsidRDefault="00232E0D" w:rsidP="00317248">
      <w:pPr>
        <w:pStyle w:val="Prrafodelista"/>
        <w:spacing w:after="0" w:line="240" w:lineRule="auto"/>
        <w:jc w:val="both"/>
        <w:rPr>
          <w:rFonts w:ascii="Arial" w:eastAsia="Times New Roman" w:hAnsi="Arial" w:cs="Arial"/>
          <w:color w:val="000000"/>
          <w:sz w:val="24"/>
          <w:szCs w:val="24"/>
          <w:lang w:eastAsia="es-ES_tradnl"/>
        </w:rPr>
      </w:pPr>
    </w:p>
    <w:p w:rsidR="00232E0D" w:rsidRPr="00317248" w:rsidRDefault="00232E0D" w:rsidP="00317248">
      <w:pPr>
        <w:pStyle w:val="Prrafodelista"/>
        <w:spacing w:after="0" w:line="240" w:lineRule="auto"/>
        <w:jc w:val="both"/>
        <w:rPr>
          <w:rFonts w:ascii="Arial" w:hAnsi="Arial" w:cs="Arial"/>
          <w:bCs/>
          <w:color w:val="000000" w:themeColor="text1"/>
          <w:sz w:val="24"/>
          <w:szCs w:val="24"/>
        </w:rPr>
      </w:pPr>
      <w:r w:rsidRPr="00317248">
        <w:rPr>
          <w:rFonts w:ascii="Arial" w:hAnsi="Arial" w:cs="Arial"/>
          <w:bCs/>
          <w:color w:val="000000" w:themeColor="text1"/>
          <w:sz w:val="24"/>
          <w:szCs w:val="24"/>
        </w:rPr>
        <w:t xml:space="preserve">Siendo así, </w:t>
      </w:r>
      <w:r w:rsidR="003419E6">
        <w:rPr>
          <w:rFonts w:ascii="Arial" w:hAnsi="Arial" w:cs="Arial"/>
          <w:bCs/>
          <w:color w:val="000000" w:themeColor="text1"/>
          <w:sz w:val="24"/>
          <w:szCs w:val="24"/>
        </w:rPr>
        <w:t xml:space="preserve">en principio </w:t>
      </w:r>
      <w:r w:rsidRPr="00317248">
        <w:rPr>
          <w:rFonts w:ascii="Arial" w:hAnsi="Arial" w:cs="Arial"/>
          <w:bCs/>
          <w:color w:val="000000" w:themeColor="text1"/>
          <w:sz w:val="24"/>
          <w:szCs w:val="24"/>
        </w:rPr>
        <w:t>la medida nacional para cumplir el fallo de la Corte IDH no puede ser “jurisdiccionalizar” la función disciplinaria de la Procuraduría General de la Nación, ni tampoco “judicializar el sistema disciplinario en su integridad”, por cuanto resulta cuestionable convertir en jueces a los Personeros (as) y a los Jefes de las Oficinas de Control Disciplinario</w:t>
      </w:r>
      <w:r w:rsidRPr="00317248">
        <w:rPr>
          <w:rStyle w:val="Refdenotaalpie"/>
          <w:rFonts w:ascii="Arial" w:hAnsi="Arial" w:cs="Arial"/>
          <w:bCs/>
          <w:color w:val="000000" w:themeColor="text1"/>
          <w:sz w:val="24"/>
          <w:szCs w:val="24"/>
        </w:rPr>
        <w:footnoteReference w:id="3"/>
      </w:r>
      <w:r w:rsidRPr="00317248">
        <w:rPr>
          <w:rFonts w:ascii="Arial" w:hAnsi="Arial" w:cs="Arial"/>
          <w:bCs/>
          <w:color w:val="000000" w:themeColor="text1"/>
          <w:sz w:val="24"/>
          <w:szCs w:val="24"/>
        </w:rPr>
        <w:t>.</w:t>
      </w:r>
    </w:p>
    <w:p w:rsidR="00232E0D" w:rsidRPr="00317248" w:rsidRDefault="00232E0D" w:rsidP="00317248">
      <w:pPr>
        <w:pStyle w:val="Prrafodelista"/>
        <w:spacing w:after="0" w:line="240" w:lineRule="auto"/>
        <w:jc w:val="both"/>
        <w:rPr>
          <w:rFonts w:ascii="Arial" w:hAnsi="Arial" w:cs="Arial"/>
          <w:bCs/>
          <w:color w:val="000000" w:themeColor="text1"/>
          <w:sz w:val="24"/>
          <w:szCs w:val="24"/>
        </w:rPr>
      </w:pPr>
    </w:p>
    <w:p w:rsidR="003419E6" w:rsidRDefault="003419E6" w:rsidP="00317248">
      <w:pPr>
        <w:pStyle w:val="Prrafodelista"/>
        <w:spacing w:after="0" w:line="240" w:lineRule="auto"/>
        <w:jc w:val="both"/>
        <w:rPr>
          <w:rFonts w:ascii="Arial" w:hAnsi="Arial" w:cs="Arial"/>
          <w:bCs/>
          <w:color w:val="000000" w:themeColor="text1"/>
          <w:sz w:val="24"/>
          <w:szCs w:val="24"/>
        </w:rPr>
      </w:pPr>
    </w:p>
    <w:p w:rsidR="003419E6" w:rsidRDefault="003419E6" w:rsidP="00317248">
      <w:pPr>
        <w:pStyle w:val="Prrafodelista"/>
        <w:spacing w:after="0" w:line="240" w:lineRule="auto"/>
        <w:jc w:val="both"/>
        <w:rPr>
          <w:rFonts w:ascii="Arial" w:hAnsi="Arial" w:cs="Arial"/>
          <w:bCs/>
          <w:color w:val="000000" w:themeColor="text1"/>
          <w:sz w:val="24"/>
          <w:szCs w:val="24"/>
        </w:rPr>
      </w:pPr>
    </w:p>
    <w:p w:rsidR="003419E6" w:rsidRDefault="003419E6" w:rsidP="00317248">
      <w:pPr>
        <w:pStyle w:val="Prrafodelista"/>
        <w:spacing w:after="0" w:line="240" w:lineRule="auto"/>
        <w:jc w:val="both"/>
        <w:rPr>
          <w:rFonts w:ascii="Arial" w:hAnsi="Arial" w:cs="Arial"/>
          <w:bCs/>
          <w:color w:val="000000" w:themeColor="text1"/>
          <w:sz w:val="24"/>
          <w:szCs w:val="24"/>
        </w:rPr>
      </w:pPr>
    </w:p>
    <w:p w:rsidR="003419E6" w:rsidRDefault="003419E6" w:rsidP="00317248">
      <w:pPr>
        <w:pStyle w:val="Prrafodelista"/>
        <w:spacing w:after="0" w:line="240" w:lineRule="auto"/>
        <w:jc w:val="both"/>
        <w:rPr>
          <w:rFonts w:ascii="Arial" w:hAnsi="Arial" w:cs="Arial"/>
          <w:bCs/>
          <w:color w:val="000000" w:themeColor="text1"/>
          <w:sz w:val="24"/>
          <w:szCs w:val="24"/>
        </w:rPr>
      </w:pPr>
    </w:p>
    <w:p w:rsidR="003419E6" w:rsidRDefault="003419E6" w:rsidP="00317248">
      <w:pPr>
        <w:pStyle w:val="Prrafodelista"/>
        <w:spacing w:after="0" w:line="240" w:lineRule="auto"/>
        <w:jc w:val="both"/>
        <w:rPr>
          <w:rFonts w:ascii="Arial" w:hAnsi="Arial" w:cs="Arial"/>
          <w:bCs/>
          <w:color w:val="000000" w:themeColor="text1"/>
          <w:sz w:val="24"/>
          <w:szCs w:val="24"/>
        </w:rPr>
      </w:pPr>
    </w:p>
    <w:p w:rsidR="00693D8A" w:rsidRDefault="00693D8A" w:rsidP="00317248">
      <w:pPr>
        <w:pStyle w:val="Prrafodelista"/>
        <w:spacing w:after="0" w:line="240" w:lineRule="auto"/>
        <w:jc w:val="both"/>
        <w:rPr>
          <w:rFonts w:ascii="Arial" w:hAnsi="Arial" w:cs="Arial"/>
          <w:bCs/>
          <w:color w:val="000000" w:themeColor="text1"/>
          <w:sz w:val="24"/>
          <w:szCs w:val="24"/>
        </w:rPr>
      </w:pPr>
    </w:p>
    <w:p w:rsidR="00693D8A" w:rsidRDefault="00693D8A" w:rsidP="00317248">
      <w:pPr>
        <w:pStyle w:val="Prrafodelista"/>
        <w:spacing w:after="0" w:line="240" w:lineRule="auto"/>
        <w:jc w:val="both"/>
        <w:rPr>
          <w:rFonts w:ascii="Arial" w:hAnsi="Arial" w:cs="Arial"/>
          <w:bCs/>
          <w:color w:val="000000" w:themeColor="text1"/>
          <w:sz w:val="24"/>
          <w:szCs w:val="24"/>
        </w:rPr>
      </w:pPr>
    </w:p>
    <w:p w:rsidR="00232E0D" w:rsidRPr="00693D8A" w:rsidRDefault="0009536E" w:rsidP="00317248">
      <w:pPr>
        <w:pStyle w:val="Prrafodelista"/>
        <w:spacing w:after="0" w:line="240" w:lineRule="auto"/>
        <w:jc w:val="both"/>
        <w:rPr>
          <w:rFonts w:ascii="Arial" w:hAnsi="Arial" w:cs="Arial"/>
          <w:bCs/>
          <w:color w:val="000000" w:themeColor="text1"/>
          <w:sz w:val="24"/>
          <w:szCs w:val="24"/>
        </w:rPr>
      </w:pPr>
      <w:r w:rsidRPr="00693D8A">
        <w:rPr>
          <w:rFonts w:ascii="Arial" w:hAnsi="Arial" w:cs="Arial"/>
          <w:bCs/>
          <w:color w:val="000000" w:themeColor="text1"/>
          <w:sz w:val="24"/>
          <w:szCs w:val="24"/>
        </w:rPr>
        <w:t>E</w:t>
      </w:r>
      <w:r w:rsidR="00232E0D" w:rsidRPr="00693D8A">
        <w:rPr>
          <w:rFonts w:ascii="Arial" w:hAnsi="Arial" w:cs="Arial"/>
          <w:bCs/>
          <w:color w:val="000000" w:themeColor="text1"/>
          <w:sz w:val="24"/>
          <w:szCs w:val="24"/>
        </w:rPr>
        <w:t>ntre “jurisdiccionalizar” la función disciplinaria de la Procuraduría General de la Nación y “judicializar el sistema disciplinario” existe una notable distinción. Lo primero solo incluye a la Procuraduría, mientras lo segundo involucra a las Personerías y Oficinas de Control Disciplinario Interno, pero otorgar funciones judiciales a estos últimos es innecesario e inconveniente</w:t>
      </w:r>
      <w:r w:rsidRPr="00693D8A">
        <w:rPr>
          <w:rStyle w:val="Refdenotaalpie"/>
          <w:rFonts w:ascii="Arial" w:hAnsi="Arial" w:cs="Arial"/>
          <w:bCs/>
          <w:color w:val="000000" w:themeColor="text1"/>
          <w:sz w:val="24"/>
          <w:szCs w:val="24"/>
        </w:rPr>
        <w:footnoteReference w:id="4"/>
      </w:r>
      <w:r w:rsidR="00232E0D" w:rsidRPr="00693D8A">
        <w:rPr>
          <w:rFonts w:ascii="Arial" w:hAnsi="Arial" w:cs="Arial"/>
          <w:bCs/>
          <w:color w:val="000000" w:themeColor="text1"/>
          <w:sz w:val="24"/>
          <w:szCs w:val="24"/>
        </w:rPr>
        <w:t xml:space="preserve">. </w:t>
      </w:r>
    </w:p>
    <w:p w:rsidR="003419E6" w:rsidRPr="00693D8A" w:rsidRDefault="003419E6" w:rsidP="00317248">
      <w:pPr>
        <w:pStyle w:val="Prrafodelista"/>
        <w:spacing w:after="0" w:line="240" w:lineRule="auto"/>
        <w:jc w:val="both"/>
        <w:rPr>
          <w:rFonts w:ascii="Arial" w:eastAsia="Times New Roman" w:hAnsi="Arial" w:cs="Arial"/>
          <w:color w:val="000000"/>
          <w:sz w:val="24"/>
          <w:szCs w:val="24"/>
          <w:lang w:eastAsia="es-ES_tradnl"/>
        </w:rPr>
      </w:pPr>
    </w:p>
    <w:p w:rsidR="003419E6" w:rsidRPr="00693D8A" w:rsidRDefault="003419E6" w:rsidP="003419E6">
      <w:pPr>
        <w:pStyle w:val="Prrafodelista"/>
        <w:spacing w:after="0" w:line="240" w:lineRule="auto"/>
        <w:jc w:val="both"/>
        <w:rPr>
          <w:rFonts w:ascii="Arial" w:hAnsi="Arial" w:cs="Arial"/>
          <w:sz w:val="24"/>
          <w:szCs w:val="24"/>
        </w:rPr>
      </w:pPr>
      <w:r w:rsidRPr="00693D8A">
        <w:rPr>
          <w:rFonts w:ascii="Arial" w:hAnsi="Arial" w:cs="Arial"/>
          <w:color w:val="000000" w:themeColor="text1"/>
          <w:sz w:val="24"/>
          <w:szCs w:val="24"/>
        </w:rPr>
        <w:t>Si bien excepcionalmente la ley puede atribuir función jurisdiccional en materias precisas a determinadas autoridades administrativas, debe advertirse que no les será permitido adelantar la instrucción de sumarios ni juzgar delitos</w:t>
      </w:r>
      <w:r w:rsidRPr="00693D8A">
        <w:rPr>
          <w:rStyle w:val="Refdenotaalpie"/>
          <w:rFonts w:ascii="Arial" w:eastAsiaTheme="majorEastAsia" w:hAnsi="Arial" w:cs="Arial"/>
          <w:color w:val="000000" w:themeColor="text1"/>
          <w:sz w:val="24"/>
          <w:szCs w:val="24"/>
        </w:rPr>
        <w:footnoteReference w:id="5"/>
      </w:r>
      <w:r w:rsidRPr="00693D8A">
        <w:rPr>
          <w:rFonts w:ascii="Arial" w:hAnsi="Arial" w:cs="Arial"/>
          <w:color w:val="000000" w:themeColor="text1"/>
          <w:sz w:val="24"/>
          <w:szCs w:val="24"/>
        </w:rPr>
        <w:t xml:space="preserve">. Por lo tanto, no puede ser ni constitucional ni convencionalmente viable </w:t>
      </w:r>
      <w:r w:rsidRPr="00693D8A">
        <w:rPr>
          <w:rFonts w:ascii="Arial" w:hAnsi="Arial" w:cs="Arial"/>
          <w:bCs/>
          <w:color w:val="000000" w:themeColor="text1"/>
          <w:sz w:val="24"/>
          <w:szCs w:val="24"/>
        </w:rPr>
        <w:t>pretender “jurisdiccionalizar” la función disciplinaria de un solo órgano de control para sancionar faltas por hechos de corrupción (delitos)</w:t>
      </w:r>
      <w:r w:rsidRPr="00693D8A">
        <w:rPr>
          <w:rStyle w:val="Refdenotaalpie"/>
          <w:rFonts w:ascii="Arial" w:eastAsiaTheme="majorEastAsia" w:hAnsi="Arial" w:cs="Arial"/>
          <w:bCs/>
          <w:color w:val="000000" w:themeColor="text1"/>
          <w:sz w:val="24"/>
          <w:szCs w:val="24"/>
        </w:rPr>
        <w:footnoteReference w:id="6"/>
      </w:r>
      <w:r w:rsidRPr="00693D8A">
        <w:rPr>
          <w:rFonts w:ascii="Arial" w:hAnsi="Arial" w:cs="Arial"/>
          <w:bCs/>
          <w:color w:val="000000" w:themeColor="text1"/>
          <w:sz w:val="24"/>
          <w:szCs w:val="24"/>
        </w:rPr>
        <w:t>, obviando el compromiso misional que corresponde a las Personerías y a las Oficinas de Control Interno de las entidades del Estado.</w:t>
      </w:r>
    </w:p>
    <w:p w:rsidR="00A92D49" w:rsidRPr="00693D8A" w:rsidRDefault="00A92D49" w:rsidP="00317248">
      <w:pPr>
        <w:pStyle w:val="Prrafodelista"/>
        <w:spacing w:after="0" w:line="240" w:lineRule="auto"/>
        <w:jc w:val="both"/>
        <w:rPr>
          <w:rFonts w:ascii="Arial" w:hAnsi="Arial" w:cs="Arial"/>
          <w:sz w:val="24"/>
          <w:szCs w:val="24"/>
          <w:lang w:val="es-ES_tradnl"/>
        </w:rPr>
      </w:pPr>
    </w:p>
    <w:p w:rsidR="0009536E" w:rsidRPr="00693D8A" w:rsidRDefault="0009536E" w:rsidP="00317248">
      <w:pPr>
        <w:pStyle w:val="Prrafodelista"/>
        <w:spacing w:after="0" w:line="240" w:lineRule="auto"/>
        <w:jc w:val="both"/>
        <w:rPr>
          <w:rFonts w:ascii="Arial" w:hAnsi="Arial" w:cs="Arial"/>
          <w:sz w:val="24"/>
          <w:szCs w:val="24"/>
        </w:rPr>
      </w:pPr>
      <w:r w:rsidRPr="00693D8A">
        <w:rPr>
          <w:rFonts w:ascii="Arial" w:hAnsi="Arial" w:cs="Arial"/>
          <w:sz w:val="24"/>
          <w:szCs w:val="24"/>
        </w:rPr>
        <w:t xml:space="preserve">En síntesis, si para dar cumplimiento al fallo de la Corte IDH </w:t>
      </w:r>
      <w:r w:rsidR="00693D8A">
        <w:rPr>
          <w:rFonts w:ascii="Arial" w:hAnsi="Arial" w:cs="Arial"/>
          <w:sz w:val="24"/>
          <w:szCs w:val="24"/>
        </w:rPr>
        <w:t xml:space="preserve">en el plazo previsto </w:t>
      </w:r>
      <w:r w:rsidRPr="00693D8A">
        <w:rPr>
          <w:rFonts w:ascii="Arial" w:hAnsi="Arial" w:cs="Arial"/>
          <w:sz w:val="24"/>
          <w:szCs w:val="24"/>
        </w:rPr>
        <w:t xml:space="preserve">se pretende jurisdiccionalizar la potestad disciplinaria de la Procuraduría </w:t>
      </w:r>
      <w:r w:rsidR="00D74C32">
        <w:rPr>
          <w:rFonts w:ascii="Arial" w:hAnsi="Arial" w:cs="Arial"/>
          <w:sz w:val="24"/>
          <w:szCs w:val="24"/>
        </w:rPr>
        <w:t>G</w:t>
      </w:r>
      <w:r w:rsidRPr="00693D8A">
        <w:rPr>
          <w:rFonts w:ascii="Arial" w:hAnsi="Arial" w:cs="Arial"/>
          <w:sz w:val="24"/>
          <w:szCs w:val="24"/>
        </w:rPr>
        <w:t xml:space="preserve">eneral de la Nación, debe tenerse en cuenta que quienes ejerzan </w:t>
      </w:r>
      <w:r w:rsidR="00317248" w:rsidRPr="00693D8A">
        <w:rPr>
          <w:rFonts w:ascii="Arial" w:hAnsi="Arial" w:cs="Arial"/>
          <w:sz w:val="24"/>
          <w:szCs w:val="24"/>
        </w:rPr>
        <w:t xml:space="preserve">dicha potestad </w:t>
      </w:r>
      <w:r w:rsidRPr="00693D8A">
        <w:rPr>
          <w:rFonts w:ascii="Arial" w:hAnsi="Arial" w:cs="Arial"/>
          <w:sz w:val="24"/>
          <w:szCs w:val="24"/>
        </w:rPr>
        <w:t xml:space="preserve">sean </w:t>
      </w:r>
      <w:r w:rsidR="00317248" w:rsidRPr="00693D8A">
        <w:rPr>
          <w:rFonts w:ascii="Arial" w:hAnsi="Arial" w:cs="Arial"/>
          <w:sz w:val="24"/>
          <w:szCs w:val="24"/>
        </w:rPr>
        <w:t xml:space="preserve">los </w:t>
      </w:r>
      <w:r w:rsidRPr="00693D8A">
        <w:rPr>
          <w:rFonts w:ascii="Arial" w:hAnsi="Arial" w:cs="Arial"/>
          <w:sz w:val="24"/>
          <w:szCs w:val="24"/>
        </w:rPr>
        <w:t xml:space="preserve">Procuradores Provinciales, Regionales y Delegados, vinculados al órgano de control a través de concurso o convocatoria pública, donde se respete el </w:t>
      </w:r>
      <w:r w:rsidR="00317248" w:rsidRPr="00693D8A">
        <w:rPr>
          <w:rFonts w:ascii="Arial" w:hAnsi="Arial" w:cs="Arial"/>
          <w:sz w:val="24"/>
          <w:szCs w:val="24"/>
        </w:rPr>
        <w:t xml:space="preserve">principio constitucional del </w:t>
      </w:r>
      <w:r w:rsidRPr="00693D8A">
        <w:rPr>
          <w:rFonts w:ascii="Arial" w:hAnsi="Arial" w:cs="Arial"/>
          <w:sz w:val="24"/>
          <w:szCs w:val="24"/>
        </w:rPr>
        <w:t>mérito.</w:t>
      </w:r>
      <w:r w:rsidR="0038388A" w:rsidRPr="00693D8A">
        <w:rPr>
          <w:rFonts w:ascii="Arial" w:hAnsi="Arial" w:cs="Arial"/>
          <w:sz w:val="24"/>
          <w:szCs w:val="24"/>
        </w:rPr>
        <w:t xml:space="preserve"> </w:t>
      </w:r>
    </w:p>
    <w:p w:rsidR="0009536E" w:rsidRPr="00693D8A" w:rsidRDefault="0009536E" w:rsidP="00317248">
      <w:pPr>
        <w:pStyle w:val="Prrafodelista"/>
        <w:spacing w:after="0" w:line="240" w:lineRule="auto"/>
        <w:jc w:val="both"/>
        <w:rPr>
          <w:rFonts w:ascii="Arial" w:hAnsi="Arial" w:cs="Arial"/>
          <w:sz w:val="24"/>
          <w:szCs w:val="24"/>
        </w:rPr>
      </w:pPr>
    </w:p>
    <w:p w:rsidR="0038388A" w:rsidRPr="00693D8A" w:rsidRDefault="0009536E" w:rsidP="0038388A">
      <w:pPr>
        <w:pStyle w:val="Prrafodelista"/>
        <w:spacing w:after="0" w:line="240" w:lineRule="auto"/>
        <w:jc w:val="both"/>
        <w:rPr>
          <w:rFonts w:ascii="Arial" w:hAnsi="Arial" w:cs="Arial"/>
          <w:sz w:val="24"/>
          <w:szCs w:val="24"/>
        </w:rPr>
      </w:pPr>
      <w:r w:rsidRPr="00693D8A">
        <w:rPr>
          <w:rFonts w:ascii="Arial" w:hAnsi="Arial" w:cs="Arial"/>
          <w:sz w:val="24"/>
          <w:szCs w:val="24"/>
        </w:rPr>
        <w:t xml:space="preserve">Asimismo, dicho control disciplinario </w:t>
      </w:r>
      <w:r w:rsidR="00317248" w:rsidRPr="00693D8A">
        <w:rPr>
          <w:rFonts w:ascii="Arial" w:hAnsi="Arial" w:cs="Arial"/>
          <w:sz w:val="24"/>
          <w:szCs w:val="24"/>
        </w:rPr>
        <w:t xml:space="preserve">debe </w:t>
      </w:r>
      <w:r w:rsidRPr="00693D8A">
        <w:rPr>
          <w:rFonts w:ascii="Arial" w:hAnsi="Arial" w:cs="Arial"/>
          <w:sz w:val="24"/>
          <w:szCs w:val="24"/>
        </w:rPr>
        <w:t>cobij</w:t>
      </w:r>
      <w:r w:rsidR="00317248" w:rsidRPr="00693D8A">
        <w:rPr>
          <w:rFonts w:ascii="Arial" w:hAnsi="Arial" w:cs="Arial"/>
          <w:sz w:val="24"/>
          <w:szCs w:val="24"/>
        </w:rPr>
        <w:t>ar</w:t>
      </w:r>
      <w:r w:rsidRPr="00693D8A">
        <w:rPr>
          <w:rFonts w:ascii="Arial" w:hAnsi="Arial" w:cs="Arial"/>
          <w:sz w:val="24"/>
          <w:szCs w:val="24"/>
        </w:rPr>
        <w:t xml:space="preserve"> a todos los sujetos investigados y no solo servidores de elección popular, a través de un procedimiento claro y </w:t>
      </w:r>
      <w:r w:rsidR="00317248" w:rsidRPr="00693D8A">
        <w:rPr>
          <w:rFonts w:ascii="Arial" w:hAnsi="Arial" w:cs="Arial"/>
          <w:sz w:val="24"/>
          <w:szCs w:val="24"/>
        </w:rPr>
        <w:t>pr</w:t>
      </w:r>
      <w:r w:rsidR="00D74C32">
        <w:rPr>
          <w:rFonts w:ascii="Arial" w:hAnsi="Arial" w:cs="Arial"/>
          <w:sz w:val="24"/>
          <w:szCs w:val="24"/>
        </w:rPr>
        <w:t>e</w:t>
      </w:r>
      <w:r w:rsidRPr="00693D8A">
        <w:rPr>
          <w:rFonts w:ascii="Arial" w:hAnsi="Arial" w:cs="Arial"/>
          <w:sz w:val="24"/>
          <w:szCs w:val="24"/>
        </w:rPr>
        <w:t xml:space="preserve">establecido en la ley, en el que exista división de roles entre investigación, acusación y juzgamiento, con el fin de garantizar los principios de juez natural e imparcialidad objetiva, cuestionados </w:t>
      </w:r>
      <w:r w:rsidR="00317248" w:rsidRPr="00693D8A">
        <w:rPr>
          <w:rFonts w:ascii="Arial" w:hAnsi="Arial" w:cs="Arial"/>
          <w:sz w:val="24"/>
          <w:szCs w:val="24"/>
        </w:rPr>
        <w:t xml:space="preserve">ampliamente </w:t>
      </w:r>
      <w:r w:rsidRPr="00693D8A">
        <w:rPr>
          <w:rFonts w:ascii="Arial" w:hAnsi="Arial" w:cs="Arial"/>
          <w:sz w:val="24"/>
          <w:szCs w:val="24"/>
        </w:rPr>
        <w:t>en la sentencia de la Corte IDH.</w:t>
      </w:r>
      <w:r w:rsidR="0038388A" w:rsidRPr="00693D8A">
        <w:rPr>
          <w:rFonts w:ascii="Arial" w:hAnsi="Arial" w:cs="Arial"/>
          <w:sz w:val="24"/>
          <w:szCs w:val="24"/>
        </w:rPr>
        <w:t xml:space="preserve"> Creemos que con la creación de 500 cargos más </w:t>
      </w:r>
      <w:r w:rsidR="003419E6" w:rsidRPr="00693D8A">
        <w:rPr>
          <w:rFonts w:ascii="Arial" w:hAnsi="Arial" w:cs="Arial"/>
          <w:sz w:val="24"/>
          <w:szCs w:val="24"/>
        </w:rPr>
        <w:t>al interior del</w:t>
      </w:r>
      <w:r w:rsidR="0038388A" w:rsidRPr="00693D8A">
        <w:rPr>
          <w:rFonts w:ascii="Arial" w:hAnsi="Arial" w:cs="Arial"/>
          <w:sz w:val="24"/>
          <w:szCs w:val="24"/>
        </w:rPr>
        <w:t xml:space="preserve"> ente de control, la distribución de estas competencia no generaría</w:t>
      </w:r>
      <w:r w:rsidR="00693D8A">
        <w:rPr>
          <w:rFonts w:ascii="Arial" w:hAnsi="Arial" w:cs="Arial"/>
          <w:sz w:val="24"/>
          <w:szCs w:val="24"/>
        </w:rPr>
        <w:t xml:space="preserve"> </w:t>
      </w:r>
      <w:r w:rsidR="0038388A" w:rsidRPr="00693D8A">
        <w:rPr>
          <w:rFonts w:ascii="Arial" w:hAnsi="Arial" w:cs="Arial"/>
          <w:sz w:val="24"/>
          <w:szCs w:val="24"/>
        </w:rPr>
        <w:t>caos ni sobrecarga laboral</w:t>
      </w:r>
      <w:r w:rsidR="00693D8A">
        <w:rPr>
          <w:rFonts w:ascii="Arial" w:hAnsi="Arial" w:cs="Arial"/>
          <w:sz w:val="24"/>
          <w:szCs w:val="24"/>
        </w:rPr>
        <w:t>, pero se sugiere una profunda modificación a las competencias establecidas en el Decreto Ley 262 de 2000.</w:t>
      </w:r>
      <w:r w:rsidR="0038388A" w:rsidRPr="00693D8A">
        <w:rPr>
          <w:rFonts w:ascii="Arial" w:hAnsi="Arial" w:cs="Arial"/>
          <w:sz w:val="24"/>
          <w:szCs w:val="24"/>
        </w:rPr>
        <w:t xml:space="preserve"> </w:t>
      </w:r>
    </w:p>
    <w:p w:rsidR="0038388A" w:rsidRPr="00693D8A" w:rsidRDefault="0038388A" w:rsidP="0038388A">
      <w:pPr>
        <w:pStyle w:val="Prrafodelista"/>
        <w:spacing w:after="0" w:line="240" w:lineRule="auto"/>
        <w:jc w:val="both"/>
        <w:rPr>
          <w:rFonts w:ascii="Arial" w:hAnsi="Arial" w:cs="Arial"/>
          <w:sz w:val="24"/>
          <w:szCs w:val="24"/>
        </w:rPr>
      </w:pPr>
    </w:p>
    <w:p w:rsidR="003419E6" w:rsidRDefault="0038388A" w:rsidP="003419E6">
      <w:pPr>
        <w:pStyle w:val="Prrafodelista"/>
        <w:spacing w:after="0" w:line="240" w:lineRule="auto"/>
        <w:jc w:val="both"/>
        <w:rPr>
          <w:rFonts w:ascii="Arial" w:hAnsi="Arial" w:cs="Arial"/>
          <w:sz w:val="24"/>
          <w:szCs w:val="24"/>
        </w:rPr>
      </w:pPr>
      <w:r w:rsidRPr="00693D8A">
        <w:rPr>
          <w:rFonts w:ascii="Arial" w:hAnsi="Arial" w:cs="Arial"/>
          <w:sz w:val="24"/>
          <w:szCs w:val="24"/>
        </w:rPr>
        <w:t xml:space="preserve">Es posible que sean </w:t>
      </w:r>
      <w:r w:rsidR="0025655E" w:rsidRPr="00693D8A">
        <w:rPr>
          <w:rFonts w:ascii="Arial" w:hAnsi="Arial" w:cs="Arial"/>
          <w:sz w:val="24"/>
          <w:szCs w:val="24"/>
        </w:rPr>
        <w:t>esos</w:t>
      </w:r>
      <w:r w:rsidRPr="00693D8A">
        <w:rPr>
          <w:rFonts w:ascii="Arial" w:hAnsi="Arial" w:cs="Arial"/>
          <w:sz w:val="24"/>
          <w:szCs w:val="24"/>
        </w:rPr>
        <w:t xml:space="preserve"> mismos Procuradores Provinciales</w:t>
      </w:r>
      <w:r w:rsidR="003419E6" w:rsidRPr="00693D8A">
        <w:rPr>
          <w:rFonts w:ascii="Arial" w:hAnsi="Arial" w:cs="Arial"/>
          <w:sz w:val="24"/>
          <w:szCs w:val="24"/>
        </w:rPr>
        <w:t xml:space="preserve">, </w:t>
      </w:r>
      <w:r w:rsidRPr="00693D8A">
        <w:rPr>
          <w:rFonts w:ascii="Arial" w:hAnsi="Arial" w:cs="Arial"/>
          <w:sz w:val="24"/>
          <w:szCs w:val="24"/>
        </w:rPr>
        <w:t>Regionales</w:t>
      </w:r>
      <w:r w:rsidR="003419E6" w:rsidRPr="00693D8A">
        <w:rPr>
          <w:rFonts w:ascii="Arial" w:hAnsi="Arial" w:cs="Arial"/>
          <w:sz w:val="24"/>
          <w:szCs w:val="24"/>
        </w:rPr>
        <w:t xml:space="preserve"> y Delegados</w:t>
      </w:r>
      <w:r w:rsidR="0025655E" w:rsidRPr="00693D8A">
        <w:rPr>
          <w:rFonts w:ascii="Arial" w:hAnsi="Arial" w:cs="Arial"/>
          <w:sz w:val="24"/>
          <w:szCs w:val="24"/>
        </w:rPr>
        <w:t>,</w:t>
      </w:r>
      <w:r w:rsidRPr="00693D8A">
        <w:rPr>
          <w:rFonts w:ascii="Arial" w:hAnsi="Arial" w:cs="Arial"/>
          <w:sz w:val="24"/>
          <w:szCs w:val="24"/>
        </w:rPr>
        <w:t xml:space="preserve"> quienes se encarguen del juzgamiento </w:t>
      </w:r>
      <w:r w:rsidR="0025655E" w:rsidRPr="00693D8A">
        <w:rPr>
          <w:rFonts w:ascii="Arial" w:hAnsi="Arial" w:cs="Arial"/>
          <w:sz w:val="24"/>
          <w:szCs w:val="24"/>
        </w:rPr>
        <w:t xml:space="preserve">y sanción </w:t>
      </w:r>
      <w:r w:rsidRPr="00693D8A">
        <w:rPr>
          <w:rFonts w:ascii="Arial" w:hAnsi="Arial" w:cs="Arial"/>
          <w:sz w:val="24"/>
          <w:szCs w:val="24"/>
        </w:rPr>
        <w:t xml:space="preserve">de aquellos procesos disciplinarios </w:t>
      </w:r>
      <w:r w:rsidR="0025655E" w:rsidRPr="00693D8A">
        <w:rPr>
          <w:rFonts w:ascii="Arial" w:hAnsi="Arial" w:cs="Arial"/>
          <w:sz w:val="24"/>
          <w:szCs w:val="24"/>
        </w:rPr>
        <w:t xml:space="preserve">instruidos hasta imputación de cargos por </w:t>
      </w:r>
      <w:r w:rsidR="00C83393" w:rsidRPr="00693D8A">
        <w:rPr>
          <w:rFonts w:ascii="Arial" w:hAnsi="Arial" w:cs="Arial"/>
          <w:sz w:val="24"/>
          <w:szCs w:val="24"/>
        </w:rPr>
        <w:t xml:space="preserve">parte de </w:t>
      </w:r>
      <w:r w:rsidR="0025655E" w:rsidRPr="00693D8A">
        <w:rPr>
          <w:rFonts w:ascii="Arial" w:hAnsi="Arial" w:cs="Arial"/>
          <w:sz w:val="24"/>
          <w:szCs w:val="24"/>
        </w:rPr>
        <w:t>Personerías y Oficinas de Control Disciplinario de las entidades públicas, en aquellos asuntos en los que la imputación</w:t>
      </w:r>
      <w:r w:rsidR="00C83393" w:rsidRPr="00693D8A">
        <w:rPr>
          <w:rFonts w:ascii="Arial" w:hAnsi="Arial" w:cs="Arial"/>
          <w:sz w:val="24"/>
          <w:szCs w:val="24"/>
        </w:rPr>
        <w:t xml:space="preserve"> tenga como consecuencia una sanción resctritiva</w:t>
      </w:r>
      <w:r w:rsidR="0025655E" w:rsidRPr="00693D8A">
        <w:rPr>
          <w:rFonts w:ascii="Arial" w:hAnsi="Arial" w:cs="Arial"/>
          <w:sz w:val="24"/>
          <w:szCs w:val="24"/>
        </w:rPr>
        <w:t xml:space="preserve"> de derechos políticos</w:t>
      </w:r>
      <w:r w:rsidR="00D74C32">
        <w:rPr>
          <w:rFonts w:ascii="Arial" w:hAnsi="Arial" w:cs="Arial"/>
          <w:sz w:val="24"/>
          <w:szCs w:val="24"/>
        </w:rPr>
        <w:t xml:space="preserve"> (Destitución, suspensión e inhabilidades)</w:t>
      </w:r>
      <w:r w:rsidR="0025655E" w:rsidRPr="00693D8A">
        <w:rPr>
          <w:rFonts w:ascii="Arial" w:hAnsi="Arial" w:cs="Arial"/>
          <w:sz w:val="24"/>
          <w:szCs w:val="24"/>
        </w:rPr>
        <w:t>.</w:t>
      </w:r>
      <w:r w:rsidR="00D74C32">
        <w:rPr>
          <w:rFonts w:ascii="Arial" w:hAnsi="Arial" w:cs="Arial"/>
          <w:sz w:val="24"/>
          <w:szCs w:val="24"/>
        </w:rPr>
        <w:t xml:space="preserve"> </w:t>
      </w:r>
      <w:r w:rsidR="0025655E" w:rsidRPr="00693D8A">
        <w:rPr>
          <w:rFonts w:ascii="Arial" w:hAnsi="Arial" w:cs="Arial"/>
          <w:sz w:val="24"/>
          <w:szCs w:val="24"/>
        </w:rPr>
        <w:t xml:space="preserve">Así se evita que autoridades administrativas continúen imponiendo este tipo de sanciones inconvencionales y sin garantías de </w:t>
      </w:r>
      <w:r w:rsidR="00693D8A">
        <w:rPr>
          <w:rFonts w:ascii="Arial" w:hAnsi="Arial" w:cs="Arial"/>
          <w:sz w:val="24"/>
          <w:szCs w:val="24"/>
        </w:rPr>
        <w:t xml:space="preserve">atender </w:t>
      </w:r>
      <w:r w:rsidR="0025655E" w:rsidRPr="00693D8A">
        <w:rPr>
          <w:rFonts w:ascii="Arial" w:hAnsi="Arial" w:cs="Arial"/>
          <w:sz w:val="24"/>
          <w:szCs w:val="24"/>
        </w:rPr>
        <w:t>el principio de imparcialidad.</w:t>
      </w:r>
    </w:p>
    <w:p w:rsidR="003419E6" w:rsidRDefault="003419E6" w:rsidP="003419E6">
      <w:pPr>
        <w:pStyle w:val="Prrafodelista"/>
        <w:spacing w:after="0" w:line="240" w:lineRule="auto"/>
        <w:jc w:val="both"/>
        <w:rPr>
          <w:rFonts w:ascii="Arial" w:hAnsi="Arial" w:cs="Arial"/>
          <w:color w:val="000000" w:themeColor="text1"/>
          <w:sz w:val="28"/>
          <w:szCs w:val="28"/>
        </w:rPr>
      </w:pPr>
    </w:p>
    <w:p w:rsidR="003419E6" w:rsidRPr="003419E6" w:rsidRDefault="003419E6" w:rsidP="0025655E">
      <w:pPr>
        <w:pStyle w:val="Prrafodelista"/>
        <w:spacing w:after="0" w:line="240" w:lineRule="auto"/>
        <w:jc w:val="both"/>
        <w:rPr>
          <w:rFonts w:ascii="Arial" w:hAnsi="Arial" w:cs="Arial"/>
          <w:sz w:val="24"/>
          <w:szCs w:val="24"/>
          <w:lang w:val="es-ES_tradnl"/>
        </w:rPr>
      </w:pPr>
    </w:p>
    <w:p w:rsidR="0025655E" w:rsidRPr="003419E6" w:rsidRDefault="0009536E" w:rsidP="003419E6">
      <w:pPr>
        <w:pStyle w:val="Prrafodelista"/>
        <w:spacing w:after="0" w:line="240" w:lineRule="auto"/>
        <w:jc w:val="both"/>
        <w:rPr>
          <w:rFonts w:ascii="Arial" w:hAnsi="Arial" w:cs="Arial"/>
          <w:sz w:val="24"/>
          <w:szCs w:val="24"/>
        </w:rPr>
      </w:pPr>
      <w:r w:rsidRPr="00317248">
        <w:rPr>
          <w:rFonts w:ascii="Arial" w:hAnsi="Arial" w:cs="Arial"/>
          <w:sz w:val="24"/>
          <w:szCs w:val="24"/>
        </w:rPr>
        <w:t xml:space="preserve">  </w:t>
      </w:r>
    </w:p>
    <w:p w:rsidR="00C83393" w:rsidRDefault="00C83393" w:rsidP="00317248">
      <w:pPr>
        <w:pStyle w:val="Prrafodelista"/>
        <w:spacing w:after="0" w:line="240" w:lineRule="auto"/>
        <w:jc w:val="both"/>
        <w:rPr>
          <w:rFonts w:ascii="Arial" w:hAnsi="Arial" w:cs="Arial"/>
          <w:sz w:val="24"/>
          <w:szCs w:val="24"/>
        </w:rPr>
      </w:pPr>
    </w:p>
    <w:p w:rsidR="00C83393" w:rsidRDefault="00C83393" w:rsidP="00317248">
      <w:pPr>
        <w:pStyle w:val="Prrafodelista"/>
        <w:spacing w:after="0" w:line="240" w:lineRule="auto"/>
        <w:jc w:val="both"/>
        <w:rPr>
          <w:rFonts w:ascii="Arial" w:hAnsi="Arial" w:cs="Arial"/>
          <w:sz w:val="24"/>
          <w:szCs w:val="24"/>
        </w:rPr>
      </w:pPr>
    </w:p>
    <w:p w:rsidR="00C83393" w:rsidRDefault="00C83393" w:rsidP="00317248">
      <w:pPr>
        <w:pStyle w:val="Prrafodelista"/>
        <w:spacing w:after="0" w:line="240" w:lineRule="auto"/>
        <w:jc w:val="both"/>
        <w:rPr>
          <w:rFonts w:ascii="Arial" w:hAnsi="Arial" w:cs="Arial"/>
          <w:sz w:val="24"/>
          <w:szCs w:val="24"/>
        </w:rPr>
      </w:pPr>
    </w:p>
    <w:p w:rsidR="00C83393" w:rsidRDefault="00C83393" w:rsidP="00317248">
      <w:pPr>
        <w:pStyle w:val="Prrafodelista"/>
        <w:spacing w:after="0" w:line="240" w:lineRule="auto"/>
        <w:jc w:val="both"/>
        <w:rPr>
          <w:rFonts w:ascii="Arial" w:hAnsi="Arial" w:cs="Arial"/>
          <w:sz w:val="24"/>
          <w:szCs w:val="24"/>
        </w:rPr>
      </w:pPr>
    </w:p>
    <w:p w:rsidR="00693D8A" w:rsidRDefault="00693D8A" w:rsidP="00317248">
      <w:pPr>
        <w:pStyle w:val="Prrafodelista"/>
        <w:spacing w:after="0" w:line="240" w:lineRule="auto"/>
        <w:jc w:val="both"/>
        <w:rPr>
          <w:rFonts w:ascii="Arial" w:hAnsi="Arial" w:cs="Arial"/>
          <w:sz w:val="24"/>
          <w:szCs w:val="24"/>
        </w:rPr>
      </w:pPr>
    </w:p>
    <w:p w:rsidR="00693D8A" w:rsidRPr="00693D8A" w:rsidRDefault="00693D8A" w:rsidP="00693D8A">
      <w:pPr>
        <w:spacing w:after="0" w:line="240" w:lineRule="auto"/>
        <w:jc w:val="both"/>
        <w:rPr>
          <w:rFonts w:ascii="Arial" w:hAnsi="Arial" w:cs="Arial"/>
          <w:sz w:val="24"/>
          <w:szCs w:val="24"/>
        </w:rPr>
      </w:pPr>
    </w:p>
    <w:p w:rsidR="0009536E" w:rsidRPr="00317248" w:rsidRDefault="0009536E" w:rsidP="00317248">
      <w:pPr>
        <w:pStyle w:val="Prrafodelista"/>
        <w:spacing w:after="0" w:line="240" w:lineRule="auto"/>
        <w:jc w:val="both"/>
        <w:rPr>
          <w:rFonts w:ascii="Arial" w:hAnsi="Arial" w:cs="Arial"/>
          <w:sz w:val="24"/>
          <w:szCs w:val="24"/>
        </w:rPr>
      </w:pPr>
      <w:r w:rsidRPr="00317248">
        <w:rPr>
          <w:rFonts w:ascii="Arial" w:hAnsi="Arial" w:cs="Arial"/>
          <w:sz w:val="24"/>
          <w:szCs w:val="24"/>
        </w:rPr>
        <w:t xml:space="preserve">Por último, </w:t>
      </w:r>
      <w:r w:rsidR="0038388A">
        <w:rPr>
          <w:rFonts w:ascii="Arial" w:hAnsi="Arial" w:cs="Arial"/>
          <w:sz w:val="24"/>
          <w:szCs w:val="24"/>
        </w:rPr>
        <w:t xml:space="preserve">y con el fin de garantizar </w:t>
      </w:r>
      <w:r w:rsidR="00C83393">
        <w:rPr>
          <w:rFonts w:ascii="Arial" w:hAnsi="Arial" w:cs="Arial"/>
          <w:sz w:val="24"/>
          <w:szCs w:val="24"/>
        </w:rPr>
        <w:t xml:space="preserve">y fortalecer </w:t>
      </w:r>
      <w:r w:rsidR="0038388A">
        <w:rPr>
          <w:rFonts w:ascii="Arial" w:hAnsi="Arial" w:cs="Arial"/>
          <w:sz w:val="24"/>
          <w:szCs w:val="24"/>
        </w:rPr>
        <w:t xml:space="preserve">aún más el principio de imparcialidad, </w:t>
      </w:r>
      <w:r w:rsidRPr="00317248">
        <w:rPr>
          <w:rFonts w:ascii="Arial" w:hAnsi="Arial" w:cs="Arial"/>
          <w:sz w:val="24"/>
          <w:szCs w:val="24"/>
        </w:rPr>
        <w:t xml:space="preserve">el control de las </w:t>
      </w:r>
      <w:r w:rsidR="00E64F2A">
        <w:rPr>
          <w:rFonts w:ascii="Arial" w:hAnsi="Arial" w:cs="Arial"/>
          <w:sz w:val="24"/>
          <w:szCs w:val="24"/>
        </w:rPr>
        <w:t>faltas</w:t>
      </w:r>
      <w:r w:rsidRPr="00317248">
        <w:rPr>
          <w:rFonts w:ascii="Arial" w:hAnsi="Arial" w:cs="Arial"/>
          <w:sz w:val="24"/>
          <w:szCs w:val="24"/>
        </w:rPr>
        <w:t xml:space="preserve"> </w:t>
      </w:r>
      <w:r w:rsidR="0038388A">
        <w:rPr>
          <w:rFonts w:ascii="Arial" w:hAnsi="Arial" w:cs="Arial"/>
          <w:sz w:val="24"/>
          <w:szCs w:val="24"/>
        </w:rPr>
        <w:t xml:space="preserve">cometidas por </w:t>
      </w:r>
      <w:r w:rsidRPr="00317248">
        <w:rPr>
          <w:rFonts w:ascii="Arial" w:hAnsi="Arial" w:cs="Arial"/>
          <w:sz w:val="24"/>
          <w:szCs w:val="24"/>
        </w:rPr>
        <w:t>los servidores con funciones jurisdiccionales disciplinarias al interior de la Procuraduría, debe quedar en manos de la Comisión Nacional de Disciplina Judicial</w:t>
      </w:r>
      <w:r w:rsidR="00317248" w:rsidRPr="00317248">
        <w:rPr>
          <w:rFonts w:ascii="Arial" w:hAnsi="Arial" w:cs="Arial"/>
          <w:sz w:val="24"/>
          <w:szCs w:val="24"/>
        </w:rPr>
        <w:t xml:space="preserve"> y sus seccionales</w:t>
      </w:r>
      <w:r w:rsidRPr="00317248">
        <w:rPr>
          <w:rFonts w:ascii="Arial" w:hAnsi="Arial" w:cs="Arial"/>
          <w:sz w:val="24"/>
          <w:szCs w:val="24"/>
        </w:rPr>
        <w:t xml:space="preserve">, tal como </w:t>
      </w:r>
      <w:r w:rsidR="00317248" w:rsidRPr="00317248">
        <w:rPr>
          <w:rFonts w:ascii="Arial" w:hAnsi="Arial" w:cs="Arial"/>
          <w:sz w:val="24"/>
          <w:szCs w:val="24"/>
        </w:rPr>
        <w:t>establecen los artículos 239 y 240 de la Ley 1952 de 2019.</w:t>
      </w:r>
      <w:r w:rsidR="00C83393">
        <w:rPr>
          <w:rFonts w:ascii="Arial" w:hAnsi="Arial" w:cs="Arial"/>
          <w:sz w:val="24"/>
          <w:szCs w:val="24"/>
        </w:rPr>
        <w:t xml:space="preserve"> Ello sin perjuicio de la competencia asignada a la Fiscalía General de la Nación, cuando se trate de </w:t>
      </w:r>
      <w:r w:rsidR="00CF01A7">
        <w:rPr>
          <w:rFonts w:ascii="Arial" w:hAnsi="Arial" w:cs="Arial"/>
          <w:sz w:val="24"/>
          <w:szCs w:val="24"/>
        </w:rPr>
        <w:t>actos</w:t>
      </w:r>
      <w:r w:rsidR="00C83393">
        <w:rPr>
          <w:rFonts w:ascii="Arial" w:hAnsi="Arial" w:cs="Arial"/>
          <w:sz w:val="24"/>
          <w:szCs w:val="24"/>
        </w:rPr>
        <w:t xml:space="preserve"> constitutiv</w:t>
      </w:r>
      <w:r w:rsidR="00CF01A7">
        <w:rPr>
          <w:rFonts w:ascii="Arial" w:hAnsi="Arial" w:cs="Arial"/>
          <w:sz w:val="24"/>
          <w:szCs w:val="24"/>
        </w:rPr>
        <w:t>o</w:t>
      </w:r>
      <w:r w:rsidR="00C83393">
        <w:rPr>
          <w:rFonts w:ascii="Arial" w:hAnsi="Arial" w:cs="Arial"/>
          <w:sz w:val="24"/>
          <w:szCs w:val="24"/>
        </w:rPr>
        <w:t>s de delitos.</w:t>
      </w:r>
    </w:p>
    <w:p w:rsidR="00D73416" w:rsidRDefault="00D73416" w:rsidP="00D73416">
      <w:pPr>
        <w:pStyle w:val="Prrafodelista"/>
        <w:spacing w:after="0" w:line="240" w:lineRule="auto"/>
        <w:ind w:left="1080"/>
        <w:jc w:val="both"/>
        <w:rPr>
          <w:rFonts w:ascii="Arial" w:hAnsi="Arial" w:cs="Arial"/>
        </w:rPr>
      </w:pPr>
    </w:p>
    <w:p w:rsidR="00D73416" w:rsidRPr="000E1F6C" w:rsidRDefault="00D73416" w:rsidP="00D73416">
      <w:pPr>
        <w:pStyle w:val="Prrafodelista"/>
        <w:jc w:val="both"/>
        <w:rPr>
          <w:rFonts w:ascii="Arial" w:hAnsi="Arial" w:cs="Arial"/>
        </w:rPr>
      </w:pPr>
    </w:p>
    <w:p w:rsidR="002044D7" w:rsidRDefault="00B11243" w:rsidP="00317248">
      <w:pPr>
        <w:spacing w:after="0" w:line="240" w:lineRule="auto"/>
        <w:jc w:val="both"/>
        <w:rPr>
          <w:rFonts w:ascii="Arial" w:hAnsi="Arial" w:cs="Arial"/>
        </w:rPr>
      </w:pPr>
      <w:r w:rsidRPr="00317248">
        <w:rPr>
          <w:rFonts w:ascii="Arial" w:hAnsi="Arial" w:cs="Arial"/>
        </w:rPr>
        <w:t xml:space="preserve"> </w:t>
      </w:r>
    </w:p>
    <w:p w:rsidR="003419E6" w:rsidRDefault="003419E6" w:rsidP="00317248">
      <w:pPr>
        <w:spacing w:after="0" w:line="240" w:lineRule="auto"/>
        <w:jc w:val="both"/>
        <w:rPr>
          <w:rFonts w:ascii="Arial" w:hAnsi="Arial" w:cs="Arial"/>
        </w:rPr>
      </w:pPr>
    </w:p>
    <w:p w:rsidR="003419E6" w:rsidRPr="003419E6" w:rsidRDefault="003419E6" w:rsidP="00317248">
      <w:pPr>
        <w:spacing w:after="0" w:line="240" w:lineRule="auto"/>
        <w:jc w:val="both"/>
        <w:rPr>
          <w:rFonts w:ascii="Arial" w:hAnsi="Arial" w:cs="Arial"/>
          <w:lang w:val="es-ES_tradnl"/>
        </w:rPr>
      </w:pPr>
    </w:p>
    <w:sectPr w:rsidR="003419E6" w:rsidRPr="003419E6" w:rsidSect="00D73416">
      <w:headerReference w:type="even" r:id="rId8"/>
      <w:headerReference w:type="default" r:id="rId9"/>
      <w:footerReference w:type="even" r:id="rId10"/>
      <w:footerReference w:type="default" r:id="rId11"/>
      <w:headerReference w:type="first" r:id="rId12"/>
      <w:footerReference w:type="first" r:id="rId13"/>
      <w:pgSz w:w="12240" w:h="15840"/>
      <w:pgMar w:top="720" w:right="720" w:bottom="720" w:left="720" w:header="73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F18F4" w:rsidRDefault="004F18F4" w:rsidP="002044D7">
      <w:pPr>
        <w:spacing w:after="0" w:line="240" w:lineRule="auto"/>
      </w:pPr>
      <w:r>
        <w:separator/>
      </w:r>
    </w:p>
  </w:endnote>
  <w:endnote w:type="continuationSeparator" w:id="0">
    <w:p w:rsidR="004F18F4" w:rsidRDefault="004F18F4" w:rsidP="002044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EhrhardtMT-Regular">
    <w:altName w:val="Calibri"/>
    <w:panose1 w:val="020B0604020202020204"/>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4C3E" w:rsidRDefault="00FE4C3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4C3E" w:rsidRPr="007877C1" w:rsidRDefault="004C18F1" w:rsidP="00FE4C3E">
    <w:pPr>
      <w:pStyle w:val="Piedepgina"/>
      <w:jc w:val="center"/>
      <w:rPr>
        <w:rFonts w:ascii="Arial" w:hAnsi="Arial" w:cs="Arial"/>
        <w:color w:val="FFFFFF" w:themeColor="background1"/>
      </w:rPr>
    </w:pPr>
    <w:r>
      <w:rPr>
        <w:rFonts w:ascii="Arial" w:hAnsi="Arial" w:cs="Arial"/>
        <w:color w:val="FFFFFF" w:themeColor="background1"/>
      </w:rPr>
      <w:t>Carrera 13 No. 75 - 20 / Oficina 307</w:t>
    </w:r>
    <w:r w:rsidR="00FE4C3E" w:rsidRPr="007877C1">
      <w:rPr>
        <w:rFonts w:ascii="Arial" w:hAnsi="Arial" w:cs="Arial"/>
        <w:color w:val="FFFFFF" w:themeColor="background1"/>
      </w:rPr>
      <w:t xml:space="preserve"> (Bogotá, D.C)</w:t>
    </w:r>
  </w:p>
  <w:p w:rsidR="00FE4C3E" w:rsidRPr="007877C1" w:rsidRDefault="00FE4C3E" w:rsidP="007877C1">
    <w:pPr>
      <w:pStyle w:val="Piedepgina"/>
      <w:jc w:val="center"/>
      <w:rPr>
        <w:rFonts w:ascii="Arial" w:hAnsi="Arial" w:cs="Arial"/>
        <w:color w:val="FFFFFF" w:themeColor="background1"/>
      </w:rPr>
    </w:pPr>
    <w:r w:rsidRPr="007877C1">
      <w:rPr>
        <w:rFonts w:ascii="Arial" w:hAnsi="Arial" w:cs="Arial"/>
        <w:color w:val="FFFFFF" w:themeColor="background1"/>
      </w:rPr>
      <w:t xml:space="preserve">Tel. +57 1 – </w:t>
    </w:r>
    <w:r w:rsidR="004C18F1">
      <w:rPr>
        <w:rFonts w:ascii="Arial" w:hAnsi="Arial" w:cs="Arial"/>
        <w:color w:val="FFFFFF" w:themeColor="background1"/>
      </w:rPr>
      <w:t>2499023 - 2355628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4C3E" w:rsidRDefault="00FE4C3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F18F4" w:rsidRDefault="004F18F4" w:rsidP="002044D7">
      <w:pPr>
        <w:spacing w:after="0" w:line="240" w:lineRule="auto"/>
      </w:pPr>
      <w:r>
        <w:separator/>
      </w:r>
    </w:p>
  </w:footnote>
  <w:footnote w:type="continuationSeparator" w:id="0">
    <w:p w:rsidR="004F18F4" w:rsidRDefault="004F18F4" w:rsidP="002044D7">
      <w:pPr>
        <w:spacing w:after="0" w:line="240" w:lineRule="auto"/>
      </w:pPr>
      <w:r>
        <w:continuationSeparator/>
      </w:r>
    </w:p>
  </w:footnote>
  <w:footnote w:id="1">
    <w:p w:rsidR="0000745E" w:rsidRPr="00C83393" w:rsidRDefault="0000745E" w:rsidP="00C83393">
      <w:pPr>
        <w:pStyle w:val="Sinespaciado"/>
        <w:ind w:left="567" w:right="57"/>
        <w:jc w:val="both"/>
        <w:rPr>
          <w:rFonts w:ascii="Times New Roman" w:hAnsi="Times New Roman" w:cs="Times New Roman"/>
          <w:sz w:val="20"/>
          <w:szCs w:val="20"/>
        </w:rPr>
      </w:pPr>
      <w:r w:rsidRPr="00C83393">
        <w:rPr>
          <w:rStyle w:val="Refdenotaalpie"/>
          <w:rFonts w:ascii="Times New Roman" w:hAnsi="Times New Roman" w:cs="Times New Roman"/>
          <w:sz w:val="20"/>
          <w:szCs w:val="20"/>
        </w:rPr>
        <w:footnoteRef/>
      </w:r>
      <w:r w:rsidRPr="00C83393">
        <w:rPr>
          <w:rFonts w:ascii="Times New Roman" w:hAnsi="Times New Roman" w:cs="Times New Roman"/>
          <w:sz w:val="20"/>
          <w:szCs w:val="20"/>
        </w:rPr>
        <w:t xml:space="preserve"> Sobre el particular se tiene dicho: “Pretender una jurisdicionalización parcial de la función disciplinaria administrativa crearía un caos y una desestabilización de la misma, teniendo en cuenta que las garantías de los disciplinados no serían iguales para quienes son investigados por la Procuraduría General de la Nación frente a los que resulten investigados por las Personerías y las Oficinas de Control Interno de las entidades públicas” </w:t>
      </w:r>
      <w:r w:rsidRPr="00C83393">
        <w:rPr>
          <w:rFonts w:ascii="Times New Roman" w:hAnsi="Times New Roman" w:cs="Times New Roman"/>
          <w:sz w:val="20"/>
          <w:szCs w:val="20"/>
          <w:lang w:val="es-ES"/>
        </w:rPr>
        <w:t xml:space="preserve">ROA SALGUERO, David Alonso. </w:t>
      </w:r>
      <w:r w:rsidRPr="00C83393">
        <w:rPr>
          <w:rFonts w:ascii="Times New Roman" w:hAnsi="Times New Roman" w:cs="Times New Roman"/>
          <w:i/>
          <w:iCs/>
          <w:sz w:val="20"/>
          <w:szCs w:val="20"/>
          <w:lang w:val="es-ES"/>
        </w:rPr>
        <w:t xml:space="preserve">Construcción dogmática del derecho disciplinario – Influencia de la jurisprudencia del Consejo de Estado colombiano, </w:t>
      </w:r>
      <w:proofErr w:type="spellStart"/>
      <w:r w:rsidRPr="00C83393">
        <w:rPr>
          <w:rFonts w:ascii="Times New Roman" w:hAnsi="Times New Roman" w:cs="Times New Roman"/>
          <w:sz w:val="20"/>
          <w:szCs w:val="20"/>
          <w:lang w:val="es-ES"/>
        </w:rPr>
        <w:t>Ibañez</w:t>
      </w:r>
      <w:proofErr w:type="spellEnd"/>
      <w:r w:rsidRPr="00C83393">
        <w:rPr>
          <w:rFonts w:ascii="Times New Roman" w:hAnsi="Times New Roman" w:cs="Times New Roman"/>
          <w:sz w:val="20"/>
          <w:szCs w:val="20"/>
          <w:lang w:val="es-ES"/>
        </w:rPr>
        <w:t>, 2010, p 14</w:t>
      </w:r>
      <w:r w:rsidRPr="00C83393">
        <w:rPr>
          <w:rFonts w:ascii="Times New Roman" w:hAnsi="Times New Roman" w:cs="Times New Roman"/>
          <w:sz w:val="20"/>
          <w:szCs w:val="20"/>
        </w:rPr>
        <w:t xml:space="preserve"> </w:t>
      </w:r>
    </w:p>
  </w:footnote>
  <w:footnote w:id="2">
    <w:p w:rsidR="00923547" w:rsidRPr="00C83393" w:rsidRDefault="00923547" w:rsidP="00C83393">
      <w:pPr>
        <w:pStyle w:val="Sinespaciado"/>
        <w:ind w:left="567" w:right="57"/>
        <w:jc w:val="both"/>
        <w:rPr>
          <w:rFonts w:ascii="Times New Roman" w:hAnsi="Times New Roman" w:cs="Times New Roman"/>
          <w:sz w:val="20"/>
          <w:szCs w:val="20"/>
          <w:lang w:val="es-ES"/>
        </w:rPr>
      </w:pPr>
      <w:r w:rsidRPr="00C83393">
        <w:rPr>
          <w:rStyle w:val="Refdenotaalpie"/>
          <w:rFonts w:ascii="Times New Roman" w:hAnsi="Times New Roman" w:cs="Times New Roman"/>
          <w:sz w:val="20"/>
          <w:szCs w:val="20"/>
        </w:rPr>
        <w:footnoteRef/>
      </w:r>
      <w:r w:rsidRPr="00C83393">
        <w:rPr>
          <w:rFonts w:ascii="Times New Roman" w:hAnsi="Times New Roman" w:cs="Times New Roman"/>
          <w:sz w:val="20"/>
          <w:szCs w:val="20"/>
        </w:rPr>
        <w:t xml:space="preserve"> </w:t>
      </w:r>
      <w:r w:rsidR="00232E0D" w:rsidRPr="00C83393">
        <w:rPr>
          <w:rFonts w:ascii="Times New Roman" w:hAnsi="Times New Roman" w:cs="Times New Roman"/>
          <w:sz w:val="20"/>
          <w:szCs w:val="20"/>
        </w:rPr>
        <w:t xml:space="preserve">Corte Constitucional, </w:t>
      </w:r>
      <w:r w:rsidR="00232E0D" w:rsidRPr="00C83393">
        <w:rPr>
          <w:rFonts w:ascii="Times New Roman" w:hAnsi="Times New Roman" w:cs="Times New Roman"/>
          <w:sz w:val="20"/>
          <w:szCs w:val="20"/>
          <w:lang w:val="es-ES"/>
        </w:rPr>
        <w:t>Sentencia C-189 de 1998.</w:t>
      </w:r>
      <w:r w:rsidR="003419E6" w:rsidRPr="00C83393">
        <w:rPr>
          <w:rFonts w:ascii="Times New Roman" w:hAnsi="Times New Roman" w:cs="Times New Roman"/>
          <w:sz w:val="20"/>
          <w:szCs w:val="20"/>
          <w:lang w:val="es-ES"/>
        </w:rPr>
        <w:t xml:space="preserve"> Esta consideración se le agradece al Colegiado Luis </w:t>
      </w:r>
      <w:proofErr w:type="spellStart"/>
      <w:r w:rsidR="003419E6" w:rsidRPr="00C83393">
        <w:rPr>
          <w:rFonts w:ascii="Times New Roman" w:hAnsi="Times New Roman" w:cs="Times New Roman"/>
          <w:sz w:val="20"/>
          <w:szCs w:val="20"/>
          <w:lang w:val="es-ES"/>
        </w:rPr>
        <w:t>Úsuga</w:t>
      </w:r>
      <w:proofErr w:type="spellEnd"/>
      <w:r w:rsidR="003419E6" w:rsidRPr="00C83393">
        <w:rPr>
          <w:rFonts w:ascii="Times New Roman" w:hAnsi="Times New Roman" w:cs="Times New Roman"/>
          <w:sz w:val="20"/>
          <w:szCs w:val="20"/>
          <w:lang w:val="es-ES"/>
        </w:rPr>
        <w:t>.</w:t>
      </w:r>
    </w:p>
  </w:footnote>
  <w:footnote w:id="3">
    <w:p w:rsidR="00232E0D" w:rsidRPr="00C83393" w:rsidRDefault="00232E0D" w:rsidP="00C83393">
      <w:pPr>
        <w:pStyle w:val="Sinespaciado"/>
        <w:ind w:left="567" w:right="57"/>
        <w:jc w:val="both"/>
        <w:rPr>
          <w:rFonts w:ascii="Times New Roman" w:hAnsi="Times New Roman" w:cs="Times New Roman"/>
          <w:sz w:val="20"/>
          <w:szCs w:val="20"/>
          <w:lang w:val="es-ES"/>
        </w:rPr>
      </w:pPr>
      <w:r w:rsidRPr="00C83393">
        <w:rPr>
          <w:rStyle w:val="Refdenotaalpie"/>
          <w:rFonts w:ascii="Times New Roman" w:hAnsi="Times New Roman" w:cs="Times New Roman"/>
          <w:sz w:val="20"/>
          <w:szCs w:val="20"/>
        </w:rPr>
        <w:footnoteRef/>
      </w:r>
      <w:r w:rsidRPr="00C83393">
        <w:rPr>
          <w:rFonts w:ascii="Times New Roman" w:hAnsi="Times New Roman" w:cs="Times New Roman"/>
          <w:sz w:val="20"/>
          <w:szCs w:val="20"/>
        </w:rPr>
        <w:t xml:space="preserve"> ROA SALGUERO, David Alonso. </w:t>
      </w:r>
      <w:r w:rsidRPr="00C83393">
        <w:rPr>
          <w:rFonts w:ascii="Times New Roman" w:hAnsi="Times New Roman" w:cs="Times New Roman"/>
          <w:i/>
          <w:iCs/>
          <w:sz w:val="20"/>
          <w:szCs w:val="20"/>
        </w:rPr>
        <w:t xml:space="preserve">Inconvencionalidad del </w:t>
      </w:r>
      <w:r w:rsidR="0009536E" w:rsidRPr="00C83393">
        <w:rPr>
          <w:rFonts w:ascii="Times New Roman" w:hAnsi="Times New Roman" w:cs="Times New Roman"/>
          <w:i/>
          <w:iCs/>
          <w:sz w:val="20"/>
          <w:szCs w:val="20"/>
        </w:rPr>
        <w:t xml:space="preserve">régimen disciplinario colombiano, </w:t>
      </w:r>
      <w:r w:rsidR="0009536E" w:rsidRPr="00C83393">
        <w:rPr>
          <w:rFonts w:ascii="Times New Roman" w:hAnsi="Times New Roman" w:cs="Times New Roman"/>
          <w:sz w:val="20"/>
          <w:szCs w:val="20"/>
        </w:rPr>
        <w:t>documento sin publicar, 2021.</w:t>
      </w:r>
    </w:p>
  </w:footnote>
  <w:footnote w:id="4">
    <w:p w:rsidR="0009536E" w:rsidRPr="00C83393" w:rsidRDefault="0009536E" w:rsidP="00C83393">
      <w:pPr>
        <w:pStyle w:val="Sinespaciado"/>
        <w:ind w:left="567" w:right="57"/>
        <w:jc w:val="both"/>
        <w:rPr>
          <w:rFonts w:ascii="Times New Roman" w:hAnsi="Times New Roman" w:cs="Times New Roman"/>
          <w:sz w:val="20"/>
          <w:szCs w:val="20"/>
          <w:lang w:val="es-ES"/>
        </w:rPr>
      </w:pPr>
      <w:r w:rsidRPr="00C83393">
        <w:rPr>
          <w:rStyle w:val="Refdenotaalpie"/>
          <w:rFonts w:ascii="Times New Roman" w:hAnsi="Times New Roman" w:cs="Times New Roman"/>
          <w:sz w:val="20"/>
          <w:szCs w:val="20"/>
        </w:rPr>
        <w:footnoteRef/>
      </w:r>
      <w:r w:rsidRPr="00C83393">
        <w:rPr>
          <w:rFonts w:ascii="Times New Roman" w:hAnsi="Times New Roman" w:cs="Times New Roman"/>
          <w:sz w:val="20"/>
          <w:szCs w:val="20"/>
        </w:rPr>
        <w:t xml:space="preserve"> </w:t>
      </w:r>
      <w:proofErr w:type="spellStart"/>
      <w:r w:rsidRPr="00C83393">
        <w:rPr>
          <w:rFonts w:ascii="Times New Roman" w:hAnsi="Times New Roman" w:cs="Times New Roman"/>
          <w:sz w:val="20"/>
          <w:szCs w:val="20"/>
          <w:lang w:val="es-ES"/>
        </w:rPr>
        <w:t>Ibid</w:t>
      </w:r>
      <w:proofErr w:type="spellEnd"/>
      <w:r w:rsidRPr="00C83393">
        <w:rPr>
          <w:rFonts w:ascii="Times New Roman" w:hAnsi="Times New Roman" w:cs="Times New Roman"/>
          <w:sz w:val="20"/>
          <w:szCs w:val="20"/>
          <w:lang w:val="es-ES"/>
        </w:rPr>
        <w:t>.</w:t>
      </w:r>
    </w:p>
  </w:footnote>
  <w:footnote w:id="5">
    <w:p w:rsidR="003419E6" w:rsidRPr="00C83393" w:rsidRDefault="003419E6" w:rsidP="00C83393">
      <w:pPr>
        <w:pStyle w:val="Sinespaciado"/>
        <w:ind w:left="567" w:right="57"/>
        <w:jc w:val="both"/>
        <w:rPr>
          <w:rFonts w:ascii="Times New Roman" w:hAnsi="Times New Roman" w:cs="Times New Roman"/>
          <w:sz w:val="20"/>
          <w:szCs w:val="20"/>
          <w:lang w:val="es-ES"/>
        </w:rPr>
      </w:pPr>
      <w:r w:rsidRPr="00C83393">
        <w:rPr>
          <w:rStyle w:val="Refdenotaalpie"/>
          <w:rFonts w:ascii="Times New Roman" w:eastAsiaTheme="majorEastAsia" w:hAnsi="Times New Roman" w:cs="Times New Roman"/>
          <w:sz w:val="20"/>
          <w:szCs w:val="20"/>
        </w:rPr>
        <w:footnoteRef/>
      </w:r>
      <w:r w:rsidRPr="00C83393">
        <w:rPr>
          <w:rFonts w:ascii="Times New Roman" w:hAnsi="Times New Roman" w:cs="Times New Roman"/>
          <w:sz w:val="20"/>
          <w:szCs w:val="20"/>
        </w:rPr>
        <w:t xml:space="preserve"> Artículo 116 de la Constitución Política. ROA SALGUERO, David Alonso. </w:t>
      </w:r>
      <w:r w:rsidRPr="00C83393">
        <w:rPr>
          <w:rFonts w:ascii="Times New Roman" w:hAnsi="Times New Roman" w:cs="Times New Roman"/>
          <w:i/>
          <w:iCs/>
          <w:sz w:val="20"/>
          <w:szCs w:val="20"/>
        </w:rPr>
        <w:t xml:space="preserve">Inconvencionalidad del régimen disciplinario colombiano, </w:t>
      </w:r>
      <w:r w:rsidRPr="00C83393">
        <w:rPr>
          <w:rFonts w:ascii="Times New Roman" w:hAnsi="Times New Roman" w:cs="Times New Roman"/>
          <w:sz w:val="20"/>
          <w:szCs w:val="20"/>
        </w:rPr>
        <w:t>documento sin publicar, 2021.</w:t>
      </w:r>
    </w:p>
  </w:footnote>
  <w:footnote w:id="6">
    <w:p w:rsidR="003419E6" w:rsidRPr="00995C8C" w:rsidRDefault="003419E6" w:rsidP="00C83393">
      <w:pPr>
        <w:pStyle w:val="Sinespaciado"/>
        <w:ind w:left="567" w:right="57"/>
        <w:jc w:val="both"/>
        <w:rPr>
          <w:rFonts w:ascii="Arial" w:hAnsi="Arial" w:cs="Arial"/>
          <w:sz w:val="24"/>
          <w:szCs w:val="24"/>
        </w:rPr>
      </w:pPr>
      <w:r w:rsidRPr="00C83393">
        <w:rPr>
          <w:rStyle w:val="Refdenotaalpie"/>
          <w:rFonts w:ascii="Times New Roman" w:eastAsiaTheme="majorEastAsia" w:hAnsi="Times New Roman" w:cs="Times New Roman"/>
          <w:sz w:val="20"/>
          <w:szCs w:val="20"/>
        </w:rPr>
        <w:footnoteRef/>
      </w:r>
      <w:r w:rsidRPr="00C83393">
        <w:rPr>
          <w:rFonts w:ascii="Times New Roman" w:hAnsi="Times New Roman" w:cs="Times New Roman"/>
          <w:sz w:val="20"/>
          <w:szCs w:val="20"/>
        </w:rPr>
        <w:t xml:space="preserve"> Numeral 1º, artículo 48 del CDU y 65 del CGD.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4C3E" w:rsidRDefault="00FE4C3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44D7" w:rsidRDefault="00A84D2B">
    <w:pPr>
      <w:pStyle w:val="Encabezado"/>
    </w:pPr>
    <w:r>
      <w:rPr>
        <w:noProof/>
        <w:lang w:val="en-US"/>
      </w:rPr>
      <w:drawing>
        <wp:anchor distT="0" distB="0" distL="114300" distR="114300" simplePos="0" relativeHeight="251658240" behindDoc="1" locked="0" layoutInCell="1" allowOverlap="1" wp14:anchorId="0FEA0291" wp14:editId="23991BC9">
          <wp:simplePos x="0" y="0"/>
          <wp:positionH relativeFrom="page">
            <wp:posOffset>-13774</wp:posOffset>
          </wp:positionH>
          <wp:positionV relativeFrom="paragraph">
            <wp:posOffset>-200464</wp:posOffset>
          </wp:positionV>
          <wp:extent cx="7765319" cy="10048875"/>
          <wp:effectExtent l="0" t="0" r="762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e.png"/>
                  <pic:cNvPicPr/>
                </pic:nvPicPr>
                <pic:blipFill>
                  <a:blip r:embed="rId1">
                    <a:extLst>
                      <a:ext uri="{28A0092B-C50C-407E-A947-70E740481C1C}">
                        <a14:useLocalDpi xmlns:a14="http://schemas.microsoft.com/office/drawing/2010/main" val="0"/>
                      </a:ext>
                    </a:extLst>
                  </a:blip>
                  <a:stretch>
                    <a:fillRect/>
                  </a:stretch>
                </pic:blipFill>
                <pic:spPr>
                  <a:xfrm>
                    <a:off x="0" y="0"/>
                    <a:ext cx="7765319" cy="1004887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4C3E" w:rsidRDefault="00FE4C3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E5D94"/>
    <w:multiLevelType w:val="hybridMultilevel"/>
    <w:tmpl w:val="7A8834F8"/>
    <w:lvl w:ilvl="0" w:tplc="065EA788">
      <w:start w:val="1"/>
      <w:numFmt w:val="bullet"/>
      <w:lvlText w:val="-"/>
      <w:lvlJc w:val="left"/>
      <w:pPr>
        <w:ind w:left="1080" w:hanging="360"/>
      </w:pPr>
      <w:rPr>
        <w:rFonts w:ascii="Arial" w:eastAsiaTheme="minorHAnsi"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 w15:restartNumberingAfterBreak="0">
    <w:nsid w:val="22141FD0"/>
    <w:multiLevelType w:val="hybridMultilevel"/>
    <w:tmpl w:val="493A978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27DA02D6"/>
    <w:multiLevelType w:val="hybridMultilevel"/>
    <w:tmpl w:val="8C2E5058"/>
    <w:lvl w:ilvl="0" w:tplc="7324A90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FE57C6"/>
    <w:multiLevelType w:val="hybridMultilevel"/>
    <w:tmpl w:val="049415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53C612B2"/>
    <w:multiLevelType w:val="hybridMultilevel"/>
    <w:tmpl w:val="E8580E2C"/>
    <w:lvl w:ilvl="0" w:tplc="1BC6BBEC">
      <w:start w:val="1"/>
      <w:numFmt w:val="decimal"/>
      <w:lvlText w:val="%1."/>
      <w:lvlJc w:val="left"/>
      <w:pPr>
        <w:ind w:left="1080" w:hanging="360"/>
      </w:pPr>
      <w:rPr>
        <w:rFonts w:hint="default"/>
        <w:b/>
        <w:color w:val="auto"/>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5" w15:restartNumberingAfterBreak="0">
    <w:nsid w:val="5E9B1D84"/>
    <w:multiLevelType w:val="hybridMultilevel"/>
    <w:tmpl w:val="199239B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6BEC0F46"/>
    <w:multiLevelType w:val="hybridMultilevel"/>
    <w:tmpl w:val="3F42370A"/>
    <w:lvl w:ilvl="0" w:tplc="D74E6872">
      <w:start w:val="1"/>
      <w:numFmt w:val="decimal"/>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7" w15:restartNumberingAfterBreak="0">
    <w:nsid w:val="713B253C"/>
    <w:multiLevelType w:val="hybridMultilevel"/>
    <w:tmpl w:val="608EC4BE"/>
    <w:lvl w:ilvl="0" w:tplc="3EF0DA6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3"/>
  </w:num>
  <w:num w:numId="4">
    <w:abstractNumId w:val="7"/>
  </w:num>
  <w:num w:numId="5">
    <w:abstractNumId w:val="2"/>
  </w:num>
  <w:num w:numId="6">
    <w:abstractNumId w:val="5"/>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44D7"/>
    <w:rsid w:val="0000745E"/>
    <w:rsid w:val="00051941"/>
    <w:rsid w:val="0009536E"/>
    <w:rsid w:val="000E25C9"/>
    <w:rsid w:val="001110FC"/>
    <w:rsid w:val="00116993"/>
    <w:rsid w:val="00157F46"/>
    <w:rsid w:val="00172870"/>
    <w:rsid w:val="00197954"/>
    <w:rsid w:val="002044D7"/>
    <w:rsid w:val="00204D70"/>
    <w:rsid w:val="00232E0D"/>
    <w:rsid w:val="0025655E"/>
    <w:rsid w:val="00270BBA"/>
    <w:rsid w:val="00282F78"/>
    <w:rsid w:val="002A14CF"/>
    <w:rsid w:val="002E38DE"/>
    <w:rsid w:val="00317248"/>
    <w:rsid w:val="00330F9E"/>
    <w:rsid w:val="003419E6"/>
    <w:rsid w:val="00361A03"/>
    <w:rsid w:val="0038388A"/>
    <w:rsid w:val="003A1368"/>
    <w:rsid w:val="003B239E"/>
    <w:rsid w:val="003C3884"/>
    <w:rsid w:val="004633D8"/>
    <w:rsid w:val="004C18F1"/>
    <w:rsid w:val="004D474E"/>
    <w:rsid w:val="004F18F4"/>
    <w:rsid w:val="00502D13"/>
    <w:rsid w:val="00566955"/>
    <w:rsid w:val="005A1E6B"/>
    <w:rsid w:val="005E592C"/>
    <w:rsid w:val="0064072A"/>
    <w:rsid w:val="00684C91"/>
    <w:rsid w:val="00693D8A"/>
    <w:rsid w:val="00727AAE"/>
    <w:rsid w:val="007877C1"/>
    <w:rsid w:val="00796BC9"/>
    <w:rsid w:val="007F58E1"/>
    <w:rsid w:val="0080217C"/>
    <w:rsid w:val="00816C14"/>
    <w:rsid w:val="00846981"/>
    <w:rsid w:val="00881A18"/>
    <w:rsid w:val="00923547"/>
    <w:rsid w:val="0094558F"/>
    <w:rsid w:val="00963DD2"/>
    <w:rsid w:val="009E2AD6"/>
    <w:rsid w:val="009F3CD1"/>
    <w:rsid w:val="00A84D2B"/>
    <w:rsid w:val="00A92D49"/>
    <w:rsid w:val="00AD2547"/>
    <w:rsid w:val="00B11243"/>
    <w:rsid w:val="00B6747A"/>
    <w:rsid w:val="00BD21D1"/>
    <w:rsid w:val="00BE4B34"/>
    <w:rsid w:val="00C83393"/>
    <w:rsid w:val="00CD511C"/>
    <w:rsid w:val="00CF01A7"/>
    <w:rsid w:val="00D057C2"/>
    <w:rsid w:val="00D37F5D"/>
    <w:rsid w:val="00D73416"/>
    <w:rsid w:val="00D74C32"/>
    <w:rsid w:val="00E1599F"/>
    <w:rsid w:val="00E2726C"/>
    <w:rsid w:val="00E327EC"/>
    <w:rsid w:val="00E64F2A"/>
    <w:rsid w:val="00E709E6"/>
    <w:rsid w:val="00E94634"/>
    <w:rsid w:val="00EA1151"/>
    <w:rsid w:val="00EA6F19"/>
    <w:rsid w:val="00F40648"/>
    <w:rsid w:val="00FC1474"/>
    <w:rsid w:val="00FE4C3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CCC0A1"/>
  <w15:chartTrackingRefBased/>
  <w15:docId w15:val="{3F8F570E-CD60-4F23-A806-A95D29BFDE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7341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044D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044D7"/>
  </w:style>
  <w:style w:type="paragraph" w:styleId="Piedepgina">
    <w:name w:val="footer"/>
    <w:basedOn w:val="Normal"/>
    <w:link w:val="PiedepginaCar"/>
    <w:uiPriority w:val="99"/>
    <w:unhideWhenUsed/>
    <w:rsid w:val="002044D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044D7"/>
  </w:style>
  <w:style w:type="paragraph" w:styleId="Prrafodelista">
    <w:name w:val="List Paragraph"/>
    <w:basedOn w:val="Normal"/>
    <w:uiPriority w:val="34"/>
    <w:qFormat/>
    <w:rsid w:val="002044D7"/>
    <w:pPr>
      <w:ind w:left="720"/>
      <w:contextualSpacing/>
    </w:pPr>
  </w:style>
  <w:style w:type="character" w:styleId="Hipervnculo">
    <w:name w:val="Hyperlink"/>
    <w:basedOn w:val="Fuentedeprrafopredeter"/>
    <w:uiPriority w:val="99"/>
    <w:unhideWhenUsed/>
    <w:rsid w:val="00F40648"/>
    <w:rPr>
      <w:color w:val="0563C1" w:themeColor="hyperlink"/>
      <w:u w:val="single"/>
    </w:rPr>
  </w:style>
  <w:style w:type="table" w:styleId="Tablaconcuadrcula">
    <w:name w:val="Table Grid"/>
    <w:basedOn w:val="Tablanormal"/>
    <w:uiPriority w:val="39"/>
    <w:rsid w:val="00AD25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Texto nota pie Car Car Car,Texto nota pie Car Car,Texto nota pie Car Car Car Car Car,Texto nota pie Car Car Car Car,Texto nota pie Car Car Car Car Car Car,Footnote Text Char Char Char Char Char,Footnote Text Char Char Char Char Car,FA Fu"/>
    <w:basedOn w:val="Normal"/>
    <w:link w:val="TextonotapieCar"/>
    <w:uiPriority w:val="99"/>
    <w:unhideWhenUsed/>
    <w:qFormat/>
    <w:rsid w:val="00BE4B34"/>
    <w:pPr>
      <w:spacing w:after="0" w:line="240" w:lineRule="auto"/>
    </w:pPr>
    <w:rPr>
      <w:sz w:val="20"/>
      <w:szCs w:val="20"/>
    </w:rPr>
  </w:style>
  <w:style w:type="character" w:customStyle="1" w:styleId="TextonotapieCar">
    <w:name w:val="Texto nota pie Car"/>
    <w:aliases w:val="Texto nota pie Car Car Car Car1,Texto nota pie Car Car Car1,Texto nota pie Car Car Car Car Car Car1,Texto nota pie Car Car Car Car Car1,Texto nota pie Car Car Car Car Car Car Car,Footnote Text Char Char Char Char Char Car,FA Fu Car"/>
    <w:basedOn w:val="Fuentedeprrafopredeter"/>
    <w:link w:val="Textonotapie"/>
    <w:uiPriority w:val="99"/>
    <w:qFormat/>
    <w:rsid w:val="00BE4B34"/>
    <w:rPr>
      <w:sz w:val="20"/>
      <w:szCs w:val="20"/>
    </w:rPr>
  </w:style>
  <w:style w:type="character" w:styleId="Refdenotaalpie">
    <w:name w:val="footnote reference"/>
    <w:aliases w:val="Ref. de nota al pie 2,Texto de nota al pie,Appel note de bas de page,Footnotes refss,Footnote number,referencia nota al pie,BVI fnr,f,4_G,16 Point,Superscript 6 Point,Texto nota al pie,Pie de Página,FC,Texto de nota al pi,Pie de P_gi"/>
    <w:basedOn w:val="Fuentedeprrafopredeter"/>
    <w:link w:val="Char2"/>
    <w:uiPriority w:val="99"/>
    <w:unhideWhenUsed/>
    <w:qFormat/>
    <w:rsid w:val="00BE4B34"/>
    <w:rPr>
      <w:vertAlign w:val="superscript"/>
    </w:rPr>
  </w:style>
  <w:style w:type="paragraph" w:customStyle="1" w:styleId="4Normal">
    <w:name w:val="4. Normal"/>
    <w:basedOn w:val="Normal"/>
    <w:uiPriority w:val="99"/>
    <w:rsid w:val="00232E0D"/>
    <w:pPr>
      <w:autoSpaceDE w:val="0"/>
      <w:autoSpaceDN w:val="0"/>
      <w:adjustRightInd w:val="0"/>
      <w:spacing w:after="0" w:line="288" w:lineRule="auto"/>
      <w:ind w:firstLine="340"/>
      <w:jc w:val="both"/>
      <w:textAlignment w:val="center"/>
    </w:pPr>
    <w:rPr>
      <w:rFonts w:ascii="EhrhardtMT-Regular" w:eastAsia="Times New Roman" w:hAnsi="EhrhardtMT-Regular" w:cs="EhrhardtMT-Regular"/>
      <w:color w:val="000000"/>
      <w:sz w:val="24"/>
      <w:szCs w:val="24"/>
      <w:lang w:val="es-ES_tradnl" w:eastAsia="es-ES_tradnl"/>
    </w:rPr>
  </w:style>
  <w:style w:type="paragraph" w:customStyle="1" w:styleId="Char2">
    <w:name w:val="Char2"/>
    <w:basedOn w:val="Normal"/>
    <w:link w:val="Refdenotaalpie"/>
    <w:uiPriority w:val="99"/>
    <w:rsid w:val="003419E6"/>
    <w:pPr>
      <w:pBdr>
        <w:top w:val="nil"/>
        <w:left w:val="nil"/>
        <w:bottom w:val="nil"/>
        <w:right w:val="nil"/>
        <w:between w:val="nil"/>
      </w:pBdr>
      <w:spacing w:line="240" w:lineRule="exact"/>
    </w:pPr>
    <w:rPr>
      <w:vertAlign w:val="superscript"/>
    </w:rPr>
  </w:style>
  <w:style w:type="paragraph" w:styleId="Sinespaciado">
    <w:name w:val="No Spacing"/>
    <w:uiPriority w:val="1"/>
    <w:qFormat/>
    <w:rsid w:val="00C8339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3468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EE3302-6D7D-0B40-8469-54CD24D462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Pages>
  <Words>881</Words>
  <Characters>4850</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Alfaro</dc:creator>
  <cp:keywords/>
  <dc:description/>
  <cp:lastModifiedBy>roasalguero@yahoo.es</cp:lastModifiedBy>
  <cp:revision>6</cp:revision>
  <cp:lastPrinted>2021-03-16T23:54:00Z</cp:lastPrinted>
  <dcterms:created xsi:type="dcterms:W3CDTF">2021-04-27T19:18:00Z</dcterms:created>
  <dcterms:modified xsi:type="dcterms:W3CDTF">2021-04-29T14:10:00Z</dcterms:modified>
</cp:coreProperties>
</file>